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701" w:type="dxa"/>
        <w:tblLook w:val="00A0"/>
      </w:tblPr>
      <w:tblGrid>
        <w:gridCol w:w="5245"/>
        <w:gridCol w:w="6662"/>
      </w:tblGrid>
      <w:tr w:rsidR="0059634D" w:rsidRPr="00BA5E01" w:rsidTr="00BA5E01">
        <w:tc>
          <w:tcPr>
            <w:tcW w:w="5245" w:type="dxa"/>
          </w:tcPr>
          <w:p w:rsidR="0059634D" w:rsidRPr="00BA5E01" w:rsidRDefault="00CC3D50" w:rsidP="00BA5E01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CC3D50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49.7pt;visibility:visible">
                  <v:imagedata r:id="rId7" o:title=""/>
                </v:shape>
              </w:pict>
            </w:r>
          </w:p>
        </w:tc>
        <w:tc>
          <w:tcPr>
            <w:tcW w:w="6662" w:type="dxa"/>
          </w:tcPr>
          <w:p w:rsidR="0059634D" w:rsidRPr="00BA5E01" w:rsidRDefault="0059634D" w:rsidP="00BA5E01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BA5E01">
              <w:rPr>
                <w:b/>
                <w:color w:val="0F243E"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59634D" w:rsidRPr="00BA5E01" w:rsidRDefault="0059634D" w:rsidP="00BA5E01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BA5E01">
              <w:rPr>
                <w:b/>
                <w:color w:val="0F243E"/>
                <w:sz w:val="28"/>
                <w:szCs w:val="28"/>
                <w:lang w:eastAsia="ru-RU"/>
              </w:rPr>
              <w:t xml:space="preserve">УНИВЕРСИТЕТ </w:t>
            </w:r>
          </w:p>
          <w:p w:rsidR="0059634D" w:rsidRPr="00BA5E01" w:rsidRDefault="0059634D" w:rsidP="00BA5E01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BA5E01">
              <w:rPr>
                <w:b/>
                <w:color w:val="0F243E"/>
                <w:sz w:val="28"/>
                <w:szCs w:val="28"/>
                <w:lang w:eastAsia="ru-RU"/>
              </w:rPr>
              <w:t>УПРАВЛЕНИЯ</w:t>
            </w:r>
          </w:p>
          <w:p w:rsidR="0059634D" w:rsidRPr="00BA5E01" w:rsidRDefault="0059634D" w:rsidP="00BA5E0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59634D" w:rsidRPr="00BA5E01" w:rsidTr="00BA5E01">
        <w:tc>
          <w:tcPr>
            <w:tcW w:w="11907" w:type="dxa"/>
            <w:gridSpan w:val="2"/>
          </w:tcPr>
          <w:p w:rsidR="0059634D" w:rsidRPr="00BA5E01" w:rsidRDefault="0059634D" w:rsidP="00BA5E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9634D" w:rsidRPr="00BA5E01" w:rsidRDefault="0059634D" w:rsidP="00BA5E01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  <w:lang w:eastAsia="ru-RU"/>
              </w:rPr>
            </w:pPr>
            <w:r w:rsidRPr="00BA5E01">
              <w:rPr>
                <w:color w:val="0F243E"/>
                <w:sz w:val="28"/>
                <w:szCs w:val="28"/>
                <w:lang w:eastAsia="ru-RU"/>
              </w:rPr>
              <w:t>Аннотация образовательной программы</w:t>
            </w:r>
          </w:p>
          <w:p w:rsidR="0059634D" w:rsidRPr="00BA5E01" w:rsidRDefault="0059634D" w:rsidP="00BA5E01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</w:tr>
      <w:tr w:rsidR="0059634D" w:rsidRPr="00BA5E01" w:rsidTr="00BA5E01">
        <w:tc>
          <w:tcPr>
            <w:tcW w:w="11907" w:type="dxa"/>
            <w:gridSpan w:val="2"/>
            <w:shd w:val="clear" w:color="auto" w:fill="0F243E"/>
            <w:vAlign w:val="center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eastAsia="ru-RU"/>
              </w:rPr>
            </w:pPr>
          </w:p>
          <w:p w:rsidR="0059634D" w:rsidRPr="001F0C29" w:rsidRDefault="0059634D" w:rsidP="00213941">
            <w:pPr>
              <w:spacing w:after="0" w:line="240" w:lineRule="auto"/>
              <w:jc w:val="center"/>
              <w:rPr>
                <w:b/>
                <w:caps/>
                <w:color w:val="FFFFFF"/>
                <w:sz w:val="44"/>
                <w:szCs w:val="44"/>
                <w:lang w:eastAsia="ru-RU"/>
              </w:rPr>
            </w:pPr>
            <w:r w:rsidRPr="001F0C29">
              <w:rPr>
                <w:b/>
                <w:sz w:val="44"/>
                <w:szCs w:val="44"/>
              </w:rPr>
              <w:t>Э</w:t>
            </w:r>
            <w:r w:rsidR="001F0C29" w:rsidRPr="001F0C29">
              <w:rPr>
                <w:b/>
                <w:sz w:val="44"/>
                <w:szCs w:val="44"/>
              </w:rPr>
              <w:t>КОЛОГИЯ И ПРИРОДОПОЛЬЗОВАНИЕ</w:t>
            </w:r>
          </w:p>
          <w:p w:rsidR="0059634D" w:rsidRPr="00213941" w:rsidRDefault="0059634D" w:rsidP="00B77B7E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59634D" w:rsidRDefault="0059634D" w:rsidP="00300C60"/>
    <w:p w:rsidR="0059634D" w:rsidRPr="001F3A9E" w:rsidRDefault="0059634D" w:rsidP="00300C60">
      <w:pPr>
        <w:rPr>
          <w:color w:val="0F243E"/>
        </w:rPr>
      </w:pPr>
      <w:bookmarkStart w:id="0" w:name="_GoBack"/>
      <w:bookmarkEnd w:id="0"/>
    </w:p>
    <w:tbl>
      <w:tblPr>
        <w:tblpPr w:leftFromText="180" w:rightFromText="180" w:vertAnchor="text" w:tblpX="-993" w:tblpY="1"/>
        <w:tblOverlap w:val="never"/>
        <w:tblW w:w="10490" w:type="dxa"/>
        <w:tblLook w:val="00A0"/>
      </w:tblPr>
      <w:tblGrid>
        <w:gridCol w:w="3119"/>
        <w:gridCol w:w="7371"/>
      </w:tblGrid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BA5E01" w:rsidRDefault="0059634D" w:rsidP="00BA5E01">
            <w:pPr>
              <w:spacing w:after="0" w:line="240" w:lineRule="auto"/>
              <w:jc w:val="right"/>
              <w:rPr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9634D" w:rsidRPr="00BA5E01" w:rsidRDefault="0059634D" w:rsidP="00BA5E01">
            <w:pPr>
              <w:spacing w:after="0" w:line="240" w:lineRule="auto"/>
              <w:jc w:val="right"/>
              <w:rPr>
                <w:color w:val="0F243E"/>
                <w:sz w:val="16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283"/>
        </w:trPr>
        <w:tc>
          <w:tcPr>
            <w:tcW w:w="3119" w:type="dxa"/>
            <w:vAlign w:val="center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59634D" w:rsidRPr="006D1308" w:rsidRDefault="0059634D" w:rsidP="00B77B7E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</w:rPr>
            </w:pPr>
            <w:r w:rsidRPr="002F5A5E">
              <w:t xml:space="preserve">  Экология и природопользование </w:t>
            </w:r>
            <w:r w:rsidR="000F21D5">
              <w:t xml:space="preserve"> </w:t>
            </w:r>
            <w:r w:rsidRPr="002F5A5E">
              <w:rPr>
                <w:color w:val="000000"/>
              </w:rPr>
              <w:t>05.03.06</w:t>
            </w: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  <w:vAlign w:val="center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634D" w:rsidRPr="00213941" w:rsidRDefault="0059634D" w:rsidP="00BA5E01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283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59634D" w:rsidRPr="006D1308" w:rsidRDefault="0059634D" w:rsidP="00BA5E0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</w:rPr>
            </w:pPr>
            <w:r w:rsidRPr="002F5A5E">
              <w:rPr>
                <w:color w:val="0F243E"/>
              </w:rPr>
              <w:t xml:space="preserve">   Бакалавр</w:t>
            </w: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634D" w:rsidRPr="00213941" w:rsidRDefault="0059634D" w:rsidP="00BA5E01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532"/>
        </w:trPr>
        <w:tc>
          <w:tcPr>
            <w:tcW w:w="3119" w:type="dxa"/>
            <w:vAlign w:val="center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59634D" w:rsidRPr="006D1308" w:rsidRDefault="0059634D" w:rsidP="00BA5E0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</w:rPr>
            </w:pPr>
            <w:r w:rsidRPr="002F5A5E">
              <w:rPr>
                <w:color w:val="0F243E"/>
              </w:rPr>
              <w:t xml:space="preserve">   Очная</w:t>
            </w:r>
          </w:p>
        </w:tc>
      </w:tr>
      <w:tr w:rsidR="0059634D" w:rsidRPr="00BA5E01" w:rsidTr="002B3D2F">
        <w:trPr>
          <w:trHeight w:val="57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634D" w:rsidRPr="00213941" w:rsidRDefault="0059634D" w:rsidP="00BA5E01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59634D" w:rsidRPr="002627EB" w:rsidRDefault="0059634D" w:rsidP="005934A5">
            <w:pPr>
              <w:numPr>
                <w:ilvl w:val="0"/>
                <w:numId w:val="1"/>
              </w:numPr>
              <w:ind w:left="283"/>
              <w:jc w:val="both"/>
              <w:rPr>
                <w:sz w:val="20"/>
                <w:szCs w:val="20"/>
                <w:shd w:val="clear" w:color="auto" w:fill="FFFFFF"/>
              </w:rPr>
            </w:pPr>
            <w:r w:rsidRPr="002627EB">
              <w:rPr>
                <w:sz w:val="20"/>
                <w:szCs w:val="20"/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</w:p>
          <w:p w:rsidR="0059634D" w:rsidRPr="006D1308" w:rsidRDefault="0059634D" w:rsidP="00B77B7E">
            <w:pPr>
              <w:pStyle w:val="a3"/>
              <w:tabs>
                <w:tab w:val="left" w:pos="175"/>
              </w:tabs>
              <w:spacing w:before="0" w:after="0" w:line="240" w:lineRule="auto"/>
              <w:ind w:left="0"/>
              <w:rPr>
                <w:color w:val="0F243E"/>
              </w:rPr>
            </w:pP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Цели образовательной программы</w:t>
            </w:r>
          </w:p>
        </w:tc>
        <w:tc>
          <w:tcPr>
            <w:tcW w:w="7371" w:type="dxa"/>
          </w:tcPr>
          <w:p w:rsidR="0059634D" w:rsidRPr="006D1308" w:rsidRDefault="0059634D" w:rsidP="00C127B6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num" w:pos="317"/>
              </w:tabs>
              <w:spacing w:before="0" w:after="0" w:line="240" w:lineRule="auto"/>
              <w:ind w:left="283" w:hanging="283"/>
              <w:jc w:val="both"/>
              <w:rPr>
                <w:color w:val="0F243E"/>
              </w:rPr>
            </w:pPr>
            <w:r w:rsidRPr="002F5A5E">
              <w:rPr>
                <w:color w:val="0F243E"/>
              </w:rPr>
              <w:t xml:space="preserve"> </w:t>
            </w:r>
            <w:r w:rsidRPr="002F5A5E">
              <w:t>Целью программы является подготовка кадров для осуществления профессиональной деятельности в сфере экологии и рационального природопользования соответствующей квалификации, востребованных на отечественном и международном рынке труда с учетом современных требований</w:t>
            </w:r>
            <w:r w:rsidRPr="002F5A5E">
              <w:rPr>
                <w:color w:val="0F243E"/>
              </w:rPr>
              <w:t>.</w:t>
            </w: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9634D" w:rsidRPr="00213941" w:rsidRDefault="0059634D" w:rsidP="00BA5E01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59634D" w:rsidRPr="006D1308" w:rsidRDefault="00584E34" w:rsidP="00584E34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num" w:pos="317"/>
              </w:tabs>
              <w:spacing w:before="0" w:after="0" w:line="240" w:lineRule="auto"/>
              <w:ind w:left="283" w:hanging="218"/>
              <w:jc w:val="both"/>
              <w:rPr>
                <w:color w:val="0F243E"/>
              </w:rPr>
            </w:pPr>
            <w:r w:rsidRPr="002F5A5E">
              <w:rPr>
                <w:color w:val="0F243E"/>
              </w:rPr>
              <w:t>Заведующий кафедрой у</w:t>
            </w:r>
            <w:r w:rsidR="0059634D" w:rsidRPr="002F5A5E">
              <w:rPr>
                <w:color w:val="0F243E"/>
              </w:rPr>
              <w:t xml:space="preserve">правления природопользованием </w:t>
            </w:r>
            <w:r w:rsidR="00254F32" w:rsidRPr="006D1308">
              <w:rPr>
                <w:color w:val="0F243E"/>
              </w:rPr>
              <w:t>и экологической безопасностью, з</w:t>
            </w:r>
            <w:r w:rsidR="0059634D" w:rsidRPr="002F5A5E">
              <w:rPr>
                <w:color w:val="0F243E"/>
              </w:rPr>
              <w:t xml:space="preserve">аслуженный деятель науки РФ, д.т.н., профессор </w:t>
            </w:r>
            <w:r w:rsidR="00254F32" w:rsidRPr="006D1308">
              <w:rPr>
                <w:color w:val="0F243E"/>
              </w:rPr>
              <w:t xml:space="preserve">                    </w:t>
            </w:r>
            <w:r w:rsidR="0059634D" w:rsidRPr="002F5A5E">
              <w:rPr>
                <w:color w:val="0F243E"/>
              </w:rPr>
              <w:t>Я.Д. Вишняков</w:t>
            </w: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9634D" w:rsidRPr="00213941" w:rsidRDefault="0059634D" w:rsidP="00BA5E01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59634D" w:rsidRPr="00213941" w:rsidRDefault="0059634D" w:rsidP="00543A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sz w:val="20"/>
                <w:szCs w:val="20"/>
                <w:lang w:eastAsia="ru-RU"/>
              </w:rPr>
            </w:pPr>
            <w:r w:rsidRPr="00213941">
              <w:rPr>
                <w:sz w:val="20"/>
                <w:szCs w:val="20"/>
                <w:lang w:eastAsia="ru-RU"/>
              </w:rPr>
              <w:t xml:space="preserve">В процессе обучения по данной программе </w:t>
            </w:r>
            <w:r>
              <w:rPr>
                <w:sz w:val="20"/>
                <w:szCs w:val="20"/>
                <w:lang w:eastAsia="ru-RU"/>
              </w:rPr>
              <w:t>студенты</w:t>
            </w:r>
            <w:r w:rsidRPr="00213941">
              <w:rPr>
                <w:sz w:val="20"/>
                <w:szCs w:val="20"/>
                <w:lang w:eastAsia="ru-RU"/>
              </w:rPr>
              <w:t xml:space="preserve"> получают универсальное образование </w:t>
            </w:r>
            <w:proofErr w:type="spellStart"/>
            <w:proofErr w:type="gramStart"/>
            <w:r w:rsidRPr="00213941">
              <w:rPr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13941">
              <w:rPr>
                <w:sz w:val="20"/>
                <w:szCs w:val="20"/>
                <w:lang w:eastAsia="ru-RU"/>
              </w:rPr>
              <w:t xml:space="preserve"> направленности с элементами экономико-управленческих знаний, что существенно отличает выпускников, окончивших ГУУ, от аналогичных выпускников других вузов страны по данному направлению.</w:t>
            </w:r>
          </w:p>
          <w:p w:rsidR="0059634D" w:rsidRPr="00213941" w:rsidRDefault="0059634D" w:rsidP="00543A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color w:val="0F243E"/>
                <w:sz w:val="20"/>
                <w:szCs w:val="20"/>
                <w:lang w:eastAsia="ru-RU"/>
              </w:rPr>
            </w:pPr>
            <w:proofErr w:type="gramStart"/>
            <w:r w:rsidRPr="00213941">
              <w:rPr>
                <w:bCs/>
                <w:color w:val="000000"/>
                <w:sz w:val="20"/>
                <w:szCs w:val="20"/>
              </w:rPr>
              <w:t xml:space="preserve">Особенности образовательной программы определяют </w:t>
            </w:r>
            <w:proofErr w:type="spellStart"/>
            <w:r w:rsidRPr="00213941">
              <w:rPr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213941">
              <w:rPr>
                <w:color w:val="000000"/>
                <w:sz w:val="20"/>
                <w:szCs w:val="20"/>
              </w:rPr>
              <w:t xml:space="preserve"> выпускников данного направления в компаниях и корпорациях, занимающихся экспортно-импортными операциями и внутренним рынком ресурсов, а также добычей, транспортировкой, первичной переработкой полезных ископаемых и других природных ресурсов; в Федеральных и территориальных агентствах водных ресурсов, </w:t>
            </w:r>
            <w:proofErr w:type="spellStart"/>
            <w:r w:rsidRPr="00213941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213941">
              <w:rPr>
                <w:color w:val="000000"/>
                <w:sz w:val="20"/>
                <w:szCs w:val="20"/>
              </w:rPr>
              <w:t>, лесного хозяйства и агентствах по надзору в сфере природопользования; в бассейновых водных управлениях;</w:t>
            </w:r>
            <w:proofErr w:type="gramEnd"/>
            <w:r w:rsidRPr="00213941">
              <w:rPr>
                <w:color w:val="000000"/>
                <w:sz w:val="20"/>
                <w:szCs w:val="20"/>
              </w:rPr>
              <w:t xml:space="preserve"> в федеральных государственных учреждениях и предприятиях; в федеральных государственных унитарных предприятиях.</w:t>
            </w:r>
            <w:r w:rsidRPr="00213941">
              <w:rPr>
                <w:rStyle w:val="ac"/>
                <w:bCs/>
                <w:color w:val="000000"/>
                <w:sz w:val="20"/>
                <w:szCs w:val="20"/>
              </w:rPr>
              <w:t xml:space="preserve"> </w:t>
            </w:r>
            <w:r w:rsidRPr="00213941">
              <w:rPr>
                <w:color w:val="000000"/>
                <w:sz w:val="20"/>
                <w:szCs w:val="20"/>
              </w:rPr>
              <w:t>Они необходимы в государственных управляющих и контролирующих органах; в международных и Российских организациях по охране окружающей среды (деятельность по обращению с отходами, охрана атмосферного воздуха, исполнение требований законодательства об экологической экспертизе, соблюдение общих экологических требований); в фирмах, осуществляющих экологическую экспертизу и аудит; на каждом крупном предприятии.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3941">
              <w:rPr>
                <w:sz w:val="20"/>
                <w:szCs w:val="20"/>
                <w:lang w:eastAsia="ru-RU"/>
              </w:rPr>
              <w:t xml:space="preserve">Полученные знания </w:t>
            </w:r>
            <w:r w:rsidRPr="00213941">
              <w:rPr>
                <w:sz w:val="20"/>
                <w:szCs w:val="20"/>
                <w:lang w:eastAsia="ru-RU"/>
              </w:rPr>
              <w:lastRenderedPageBreak/>
              <w:t>способствуют повышению конкурентоспособности нашей страны на мировом рынке природных ресурсов.</w:t>
            </w: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9634D" w:rsidRPr="00213941" w:rsidRDefault="0059634D" w:rsidP="00BA5E01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59634D" w:rsidRPr="00213941" w:rsidRDefault="0059634D" w:rsidP="002B3D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sz w:val="20"/>
                <w:szCs w:val="20"/>
                <w:lang w:eastAsia="ru-RU"/>
              </w:rPr>
            </w:pPr>
            <w:r w:rsidRPr="00213941">
              <w:rPr>
                <w:sz w:val="20"/>
                <w:szCs w:val="20"/>
                <w:lang w:eastAsia="ru-RU"/>
              </w:rPr>
              <w:t xml:space="preserve">Процесс обучения основан на интерактивных видах аудиторной работы </w:t>
            </w:r>
            <w:r>
              <w:rPr>
                <w:sz w:val="20"/>
                <w:szCs w:val="20"/>
                <w:lang w:eastAsia="ru-RU"/>
              </w:rPr>
              <w:t xml:space="preserve">    </w:t>
            </w:r>
            <w:r w:rsidRPr="00213941">
              <w:rPr>
                <w:sz w:val="20"/>
                <w:szCs w:val="20"/>
                <w:lang w:eastAsia="ru-RU"/>
              </w:rPr>
              <w:t>(решение кейсов, деловые и ролевые игры).</w:t>
            </w:r>
          </w:p>
          <w:p w:rsidR="0059634D" w:rsidRPr="006D1308" w:rsidRDefault="0059634D" w:rsidP="0086260B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before="0" w:after="0" w:line="240" w:lineRule="auto"/>
              <w:ind w:left="283"/>
              <w:jc w:val="both"/>
              <w:rPr>
                <w:color w:val="0F243E"/>
              </w:rPr>
            </w:pPr>
            <w:r w:rsidRPr="002F5A5E">
              <w:t xml:space="preserve">   Лекции, семинарские и лабораторные занятия проводятся с использованием технических средств обучения: персональных компьютеров, презентаций, видеоматериалов, видеотехники, </w:t>
            </w:r>
            <w:proofErr w:type="spellStart"/>
            <w:r w:rsidRPr="002F5A5E">
              <w:t>мультимедийного</w:t>
            </w:r>
            <w:proofErr w:type="spellEnd"/>
            <w:r w:rsidRPr="002F5A5E">
              <w:t xml:space="preserve"> оборудования, приборов для оценки параметров окружающей среды, плакатов, раздаточного материала.</w:t>
            </w: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>
              <w:rPr>
                <w:b/>
                <w:color w:val="0F243E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71" w:type="dxa"/>
          </w:tcPr>
          <w:p w:rsidR="0059634D" w:rsidRPr="00213941" w:rsidRDefault="0059634D" w:rsidP="00BA5E01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Деловые партнеры</w:t>
            </w:r>
          </w:p>
        </w:tc>
        <w:tc>
          <w:tcPr>
            <w:tcW w:w="7371" w:type="dxa"/>
          </w:tcPr>
          <w:p w:rsidR="0059634D" w:rsidRPr="006D1308" w:rsidRDefault="0059634D" w:rsidP="0086260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jc w:val="both"/>
              <w:rPr>
                <w:color w:val="0F243E"/>
              </w:rPr>
            </w:pPr>
            <w:r w:rsidRPr="002F5A5E">
              <w:t>Налажены устойчивые связи с компаниями, занимающимися добычей природных ресурсов, органами государственной и муниципальной власти РФ, научно-образовательными учреждениями и иными организациями. Среди партнеров выпускающей кафедры: Минэкономразвития РФ, Государственная Дума РФ, Совет по изучению производственных сил РАН, Институт экономики РАН, Московский государственный университет, ОАО «</w:t>
            </w:r>
            <w:proofErr w:type="spellStart"/>
            <w:r w:rsidRPr="002F5A5E">
              <w:t>Лукойл</w:t>
            </w:r>
            <w:proofErr w:type="spellEnd"/>
            <w:r w:rsidRPr="002F5A5E">
              <w:t>», ОАО «Газпром», МГУП «</w:t>
            </w:r>
            <w:proofErr w:type="spellStart"/>
            <w:r w:rsidRPr="002F5A5E">
              <w:t>Мосводоканал</w:t>
            </w:r>
            <w:proofErr w:type="spellEnd"/>
            <w:r w:rsidRPr="002F5A5E">
              <w:t>», Всесоюзный институт минерального сырья, ОАО НТЦ «</w:t>
            </w:r>
            <w:proofErr w:type="spellStart"/>
            <w:r w:rsidRPr="002F5A5E">
              <w:t>Промбезопасность</w:t>
            </w:r>
            <w:proofErr w:type="spellEnd"/>
            <w:r w:rsidRPr="002F5A5E">
              <w:t>», ООО «</w:t>
            </w:r>
            <w:proofErr w:type="spellStart"/>
            <w:r w:rsidRPr="002F5A5E">
              <w:t>Эконедраконсалт</w:t>
            </w:r>
            <w:proofErr w:type="spellEnd"/>
            <w:r w:rsidRPr="002F5A5E">
              <w:t>» и др.</w:t>
            </w: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</w:tr>
      <w:tr w:rsidR="0059634D" w:rsidRPr="00BA5E01" w:rsidTr="002B3D2F">
        <w:trPr>
          <w:trHeight w:val="70"/>
        </w:trPr>
        <w:tc>
          <w:tcPr>
            <w:tcW w:w="3119" w:type="dxa"/>
          </w:tcPr>
          <w:p w:rsidR="0059634D" w:rsidRPr="00213941" w:rsidRDefault="0059634D" w:rsidP="00BA5E01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213941">
              <w:rPr>
                <w:b/>
                <w:color w:val="0F243E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7371" w:type="dxa"/>
          </w:tcPr>
          <w:p w:rsidR="0059634D" w:rsidRPr="006D1308" w:rsidRDefault="0059634D" w:rsidP="0041133C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jc w:val="both"/>
              <w:rPr>
                <w:color w:val="0F243E"/>
              </w:rPr>
            </w:pPr>
            <w:r w:rsidRPr="002F5A5E">
              <w:t xml:space="preserve">Общая экология. </w:t>
            </w:r>
            <w:proofErr w:type="spellStart"/>
            <w:r w:rsidRPr="002F5A5E">
              <w:t>Биоразнообразие</w:t>
            </w:r>
            <w:proofErr w:type="spellEnd"/>
            <w:r w:rsidRPr="002F5A5E">
              <w:t>. Геоэкология. Экология человека.  Охрана окружающей среды. Социальная экология.  Учение об атмосфере. Учение о биосфере.  Учение о гидросфере.  Ландшафтоведение. Основы природопользования. Экономика природопользования. Устойчивое развитие. Оценка воздействия на окружающую среду.  Правовые основы природопользования и охраны окружающей среды.  Экологический мониторинг. Экологический менеджмент. Эколого-экономическая деятельность предприятия. Нормирование и снижение загрязнения окружающей среды. Техногенные системы и экологический риск. Экономическая оценка природных ресурсов. Региональное природопользование. Зарубежный опыт природопользования и ресурсосбережения и другие.</w:t>
            </w:r>
          </w:p>
        </w:tc>
      </w:tr>
    </w:tbl>
    <w:p w:rsidR="0059634D" w:rsidRPr="001F3A9E" w:rsidRDefault="0059634D" w:rsidP="00D46781">
      <w:pPr>
        <w:pBdr>
          <w:left w:val="single" w:sz="4" w:space="0" w:color="auto"/>
        </w:pBdr>
        <w:rPr>
          <w:color w:val="0F243E"/>
        </w:rPr>
      </w:pPr>
    </w:p>
    <w:sectPr w:rsidR="0059634D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08" w:rsidRDefault="006D1308" w:rsidP="00787318">
      <w:pPr>
        <w:spacing w:after="0" w:line="240" w:lineRule="auto"/>
      </w:pPr>
      <w:r>
        <w:separator/>
      </w:r>
    </w:p>
  </w:endnote>
  <w:endnote w:type="continuationSeparator" w:id="0">
    <w:p w:rsidR="006D1308" w:rsidRDefault="006D1308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D" w:rsidRDefault="00CC3D5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" stroked="f">
          <v:textbox>
            <w:txbxContent>
              <w:p w:rsidR="0059634D" w:rsidRPr="002F24F0" w:rsidRDefault="0059634D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59634D" w:rsidRPr="002F24F0" w:rsidRDefault="0059634D" w:rsidP="009540C1">
                <w:pPr>
                  <w:pStyle w:val="a6"/>
                  <w:ind w:firstLine="851"/>
                </w:pPr>
                <w:r>
                  <w:t xml:space="preserve"> «ЭКОЛОГИЯ И ПРИРОДОПОЛЬЗОВАНИЕ»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08" w:rsidRDefault="006D1308" w:rsidP="00787318">
      <w:pPr>
        <w:spacing w:after="0" w:line="240" w:lineRule="auto"/>
      </w:pPr>
      <w:r>
        <w:separator/>
      </w:r>
    </w:p>
  </w:footnote>
  <w:footnote w:type="continuationSeparator" w:id="0">
    <w:p w:rsidR="006D1308" w:rsidRDefault="006D1308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D" w:rsidRDefault="00CC3D5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" stroked="f">
          <v:textbox>
            <w:txbxContent>
              <w:p w:rsidR="0059634D" w:rsidRDefault="0059634D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59634D" w:rsidRDefault="0059634D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623C0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925927"/>
    <w:multiLevelType w:val="hybridMultilevel"/>
    <w:tmpl w:val="6A1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83503B"/>
    <w:multiLevelType w:val="hybridMultilevel"/>
    <w:tmpl w:val="5904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70BFD"/>
    <w:rsid w:val="0008461C"/>
    <w:rsid w:val="0008539E"/>
    <w:rsid w:val="000F21D5"/>
    <w:rsid w:val="00131F69"/>
    <w:rsid w:val="001626DD"/>
    <w:rsid w:val="00177187"/>
    <w:rsid w:val="0019505A"/>
    <w:rsid w:val="001E3452"/>
    <w:rsid w:val="001F0C29"/>
    <w:rsid w:val="001F3A9E"/>
    <w:rsid w:val="00212DA8"/>
    <w:rsid w:val="00213941"/>
    <w:rsid w:val="0022277A"/>
    <w:rsid w:val="00224BAD"/>
    <w:rsid w:val="00254F32"/>
    <w:rsid w:val="002627EB"/>
    <w:rsid w:val="00263DBA"/>
    <w:rsid w:val="002B3D2F"/>
    <w:rsid w:val="002F24F0"/>
    <w:rsid w:val="002F5A5E"/>
    <w:rsid w:val="002F7950"/>
    <w:rsid w:val="00300C60"/>
    <w:rsid w:val="00320C75"/>
    <w:rsid w:val="00324B96"/>
    <w:rsid w:val="003504E4"/>
    <w:rsid w:val="0037161C"/>
    <w:rsid w:val="003B1D68"/>
    <w:rsid w:val="0041133C"/>
    <w:rsid w:val="00415834"/>
    <w:rsid w:val="005021E7"/>
    <w:rsid w:val="00536D74"/>
    <w:rsid w:val="00543A57"/>
    <w:rsid w:val="00584E34"/>
    <w:rsid w:val="005934A5"/>
    <w:rsid w:val="0059634D"/>
    <w:rsid w:val="005E1200"/>
    <w:rsid w:val="006006AA"/>
    <w:rsid w:val="00606279"/>
    <w:rsid w:val="00661D66"/>
    <w:rsid w:val="00692183"/>
    <w:rsid w:val="006B102D"/>
    <w:rsid w:val="006D1308"/>
    <w:rsid w:val="006F78BF"/>
    <w:rsid w:val="00710D3D"/>
    <w:rsid w:val="0072433C"/>
    <w:rsid w:val="00787318"/>
    <w:rsid w:val="007A4315"/>
    <w:rsid w:val="007E35DC"/>
    <w:rsid w:val="007F7296"/>
    <w:rsid w:val="008040FB"/>
    <w:rsid w:val="0082020A"/>
    <w:rsid w:val="00835192"/>
    <w:rsid w:val="0086260B"/>
    <w:rsid w:val="00882C68"/>
    <w:rsid w:val="008A392F"/>
    <w:rsid w:val="00901844"/>
    <w:rsid w:val="0092768F"/>
    <w:rsid w:val="0095174A"/>
    <w:rsid w:val="009540C1"/>
    <w:rsid w:val="00961EE4"/>
    <w:rsid w:val="009C0033"/>
    <w:rsid w:val="00A05428"/>
    <w:rsid w:val="00A178FF"/>
    <w:rsid w:val="00A86FC8"/>
    <w:rsid w:val="00A905A6"/>
    <w:rsid w:val="00A95A5F"/>
    <w:rsid w:val="00AA50E4"/>
    <w:rsid w:val="00AC01D4"/>
    <w:rsid w:val="00AF41AA"/>
    <w:rsid w:val="00B26D1D"/>
    <w:rsid w:val="00B30478"/>
    <w:rsid w:val="00B76839"/>
    <w:rsid w:val="00B77B7E"/>
    <w:rsid w:val="00BA5E01"/>
    <w:rsid w:val="00C0416A"/>
    <w:rsid w:val="00C127B6"/>
    <w:rsid w:val="00C41849"/>
    <w:rsid w:val="00C7136C"/>
    <w:rsid w:val="00C76BAF"/>
    <w:rsid w:val="00C844FC"/>
    <w:rsid w:val="00C95BBB"/>
    <w:rsid w:val="00CC3D50"/>
    <w:rsid w:val="00CC7D40"/>
    <w:rsid w:val="00D46781"/>
    <w:rsid w:val="00DD56E4"/>
    <w:rsid w:val="00E06CD5"/>
    <w:rsid w:val="00E87B09"/>
    <w:rsid w:val="00ED3CD9"/>
    <w:rsid w:val="00F0305D"/>
    <w:rsid w:val="00F4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="Times New Roman"/>
      <w:sz w:val="20"/>
      <w:lang w:eastAsia="ru-RU"/>
    </w:rPr>
  </w:style>
  <w:style w:type="table" w:styleId="a5">
    <w:name w:val="Table Grid"/>
    <w:basedOn w:val="a1"/>
    <w:uiPriority w:val="99"/>
    <w:rsid w:val="00300C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C6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locked/>
    <w:rsid w:val="00213941"/>
    <w:rPr>
      <w:rFonts w:cs="Times New Roman"/>
      <w:b/>
    </w:rPr>
  </w:style>
  <w:style w:type="paragraph" w:styleId="ad">
    <w:name w:val="Normal (Web)"/>
    <w:basedOn w:val="a"/>
    <w:uiPriority w:val="99"/>
    <w:rsid w:val="00213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3689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6</cp:revision>
  <dcterms:created xsi:type="dcterms:W3CDTF">2016-03-29T13:32:00Z</dcterms:created>
  <dcterms:modified xsi:type="dcterms:W3CDTF">2016-04-14T11:40:00Z</dcterms:modified>
</cp:coreProperties>
</file>