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2032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6732"/>
      </w:tblGrid>
      <w:tr w:rsidR="00300C60" w:rsidRPr="000C71C0" w:rsidTr="00A7522E">
        <w:trPr>
          <w:trHeight w:val="1398"/>
        </w:trPr>
        <w:tc>
          <w:tcPr>
            <w:tcW w:w="5300" w:type="dxa"/>
            <w:vAlign w:val="center"/>
          </w:tcPr>
          <w:p w:rsidR="00300C60" w:rsidRPr="00A7522E" w:rsidRDefault="00DA6386" w:rsidP="00A7522E">
            <w:pPr>
              <w:jc w:val="right"/>
              <w:rPr>
                <w:color w:val="244061" w:themeColor="accent1" w:themeShade="80"/>
                <w:sz w:val="28"/>
                <w:szCs w:val="28"/>
              </w:rPr>
            </w:pPr>
            <w:r w:rsidRPr="00A7522E">
              <w:rPr>
                <w:noProof/>
                <w:color w:val="244061" w:themeColor="accent1" w:themeShade="80"/>
                <w:sz w:val="28"/>
                <w:szCs w:val="28"/>
              </w:rPr>
              <w:drawing>
                <wp:inline distT="0" distB="0" distL="0" distR="0">
                  <wp:extent cx="1049020" cy="1171575"/>
                  <wp:effectExtent l="0" t="0" r="0" b="0"/>
                  <wp:docPr id="2" name="Рисунок 2" descr="D:\ГУУ\2019 (Приемная комиссия)\Фирменный ГУУ\утвержденные логотипы ГУУ\лого-19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УУ\2019 (Приемная комиссия)\Фирменный ГУУ\утвержденные логотипы ГУУ\лого-19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12" cy="117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vAlign w:val="center"/>
          </w:tcPr>
          <w:p w:rsidR="00300C60" w:rsidRPr="00A7522E" w:rsidRDefault="00300C60" w:rsidP="00DA6386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A7522E">
              <w:rPr>
                <w:b/>
                <w:color w:val="244061" w:themeColor="accent1" w:themeShade="80"/>
                <w:sz w:val="28"/>
                <w:szCs w:val="28"/>
              </w:rPr>
              <w:t xml:space="preserve">ГОСУДАРСТВЕННЫЙ </w:t>
            </w:r>
          </w:p>
          <w:p w:rsidR="00300C60" w:rsidRPr="00A7522E" w:rsidRDefault="00300C60" w:rsidP="00DA6386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A7522E">
              <w:rPr>
                <w:b/>
                <w:color w:val="244061" w:themeColor="accent1" w:themeShade="80"/>
                <w:sz w:val="28"/>
                <w:szCs w:val="28"/>
              </w:rPr>
              <w:t xml:space="preserve">УНИВЕРСИТЕТ </w:t>
            </w:r>
          </w:p>
          <w:p w:rsidR="00300C60" w:rsidRPr="00A7522E" w:rsidRDefault="00300C60" w:rsidP="00DA6386">
            <w:pPr>
              <w:rPr>
                <w:color w:val="244061" w:themeColor="accent1" w:themeShade="80"/>
                <w:sz w:val="28"/>
                <w:szCs w:val="28"/>
              </w:rPr>
            </w:pPr>
            <w:r w:rsidRPr="00A7522E">
              <w:rPr>
                <w:b/>
                <w:color w:val="244061" w:themeColor="accent1" w:themeShade="80"/>
                <w:sz w:val="28"/>
                <w:szCs w:val="28"/>
              </w:rPr>
              <w:t>УПРАВЛЕНИЯ</w:t>
            </w:r>
          </w:p>
        </w:tc>
      </w:tr>
      <w:tr w:rsidR="00300C60" w:rsidRPr="000C71C0" w:rsidTr="00064997">
        <w:trPr>
          <w:trHeight w:val="572"/>
        </w:trPr>
        <w:tc>
          <w:tcPr>
            <w:tcW w:w="12032" w:type="dxa"/>
            <w:gridSpan w:val="2"/>
          </w:tcPr>
          <w:p w:rsidR="00300C60" w:rsidRPr="00A7282C" w:rsidRDefault="00D46781" w:rsidP="00CC7DCE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7282C">
              <w:rPr>
                <w:b/>
                <w:color w:val="244061" w:themeColor="accent1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A7522E" w:rsidRDefault="00300C60" w:rsidP="00CC7DCE">
            <w:pPr>
              <w:jc w:val="center"/>
              <w:rPr>
                <w:color w:val="244061" w:themeColor="accent1" w:themeShade="80"/>
                <w:szCs w:val="28"/>
              </w:rPr>
            </w:pPr>
          </w:p>
        </w:tc>
      </w:tr>
      <w:tr w:rsidR="00300C60" w:rsidRPr="000C71C0" w:rsidTr="00F1710A">
        <w:trPr>
          <w:trHeight w:val="1603"/>
        </w:trPr>
        <w:tc>
          <w:tcPr>
            <w:tcW w:w="12032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37161C" w:rsidRPr="00F31D8C" w:rsidRDefault="00061AF4" w:rsidP="00F372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Управление внешнеэкономической деятельностью и таможенные операции</w:t>
            </w:r>
          </w:p>
          <w:p w:rsidR="00300C60" w:rsidRPr="00806FAE" w:rsidRDefault="00300C60" w:rsidP="00C24C0E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tbl>
      <w:tblPr>
        <w:tblStyle w:val="a5"/>
        <w:tblpPr w:leftFromText="180" w:rightFromText="180" w:vertAnchor="text" w:tblpX="-993" w:tblpY="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8182"/>
      </w:tblGrid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BF6E75" w:rsidRDefault="00300C60" w:rsidP="00A7522E">
            <w:pPr>
              <w:spacing w:after="240"/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8182" w:type="dxa"/>
            <w:vAlign w:val="center"/>
          </w:tcPr>
          <w:p w:rsidR="00300C60" w:rsidRPr="00BF6E75" w:rsidRDefault="00300C60" w:rsidP="00A7522E">
            <w:pPr>
              <w:spacing w:after="240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C24C0E">
        <w:trPr>
          <w:trHeight w:val="283"/>
        </w:trPr>
        <w:tc>
          <w:tcPr>
            <w:tcW w:w="2733" w:type="dxa"/>
          </w:tcPr>
          <w:p w:rsidR="00300C60" w:rsidRPr="00064997" w:rsidRDefault="00692183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 xml:space="preserve">Направление подготовки и </w:t>
            </w:r>
            <w:r w:rsidR="00B76839" w:rsidRPr="00064997">
              <w:rPr>
                <w:b/>
                <w:color w:val="244061" w:themeColor="accent1" w:themeShade="80"/>
                <w:sz w:val="24"/>
                <w:szCs w:val="24"/>
              </w:rPr>
              <w:t>ш</w:t>
            </w: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ифр</w:t>
            </w:r>
          </w:p>
        </w:tc>
        <w:tc>
          <w:tcPr>
            <w:tcW w:w="8182" w:type="dxa"/>
            <w:vAlign w:val="center"/>
          </w:tcPr>
          <w:p w:rsidR="00A7282C" w:rsidRDefault="00FB39AC" w:rsidP="00A7522E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Менеджмент</w:t>
            </w:r>
            <w:r w:rsidR="00C57B11"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:rsidR="00300C60" w:rsidRPr="00A7282C" w:rsidRDefault="00C57B11" w:rsidP="00A7522E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38.03.02</w:t>
            </w: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00C60" w:rsidRPr="00A7282C" w:rsidRDefault="00300C60" w:rsidP="00A7522E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283"/>
        </w:trPr>
        <w:tc>
          <w:tcPr>
            <w:tcW w:w="2733" w:type="dxa"/>
          </w:tcPr>
          <w:p w:rsidR="00300C60" w:rsidRPr="00064997" w:rsidRDefault="00692183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8182" w:type="dxa"/>
            <w:vAlign w:val="center"/>
          </w:tcPr>
          <w:p w:rsidR="001E3452" w:rsidRPr="00A7282C" w:rsidRDefault="00B507E2" w:rsidP="00A7522E">
            <w:pPr>
              <w:tabs>
                <w:tab w:val="left" w:pos="175"/>
              </w:tabs>
              <w:ind w:left="142"/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Бакалав</w:t>
            </w:r>
            <w:r w:rsidR="00C33757"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р</w:t>
            </w: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00C60" w:rsidRPr="00A7282C" w:rsidRDefault="00300C60" w:rsidP="00A7522E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67"/>
        </w:trPr>
        <w:tc>
          <w:tcPr>
            <w:tcW w:w="2733" w:type="dxa"/>
          </w:tcPr>
          <w:p w:rsidR="00300C60" w:rsidRPr="00064997" w:rsidRDefault="00692183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Форма обучения</w:t>
            </w:r>
          </w:p>
        </w:tc>
        <w:tc>
          <w:tcPr>
            <w:tcW w:w="8182" w:type="dxa"/>
            <w:vAlign w:val="center"/>
          </w:tcPr>
          <w:p w:rsidR="00300C60" w:rsidRPr="00325DBF" w:rsidRDefault="000A73C1" w:rsidP="00C03465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Очная</w:t>
            </w:r>
            <w:r w:rsidR="00325DBF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, 4 года, </w:t>
            </w:r>
          </w:p>
        </w:tc>
      </w:tr>
      <w:tr w:rsidR="001F3A9E" w:rsidRPr="001F3A9E" w:rsidTr="00C24C0E">
        <w:trPr>
          <w:trHeight w:val="57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00C60" w:rsidRPr="00A7282C" w:rsidRDefault="00300C60" w:rsidP="00F37277">
            <w:pPr>
              <w:ind w:right="2667"/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692183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Целевая аудитория</w:t>
            </w:r>
          </w:p>
        </w:tc>
        <w:tc>
          <w:tcPr>
            <w:tcW w:w="8182" w:type="dxa"/>
            <w:vAlign w:val="center"/>
          </w:tcPr>
          <w:p w:rsidR="00300C60" w:rsidRPr="00A7282C" w:rsidRDefault="00F1710A" w:rsidP="00A7522E">
            <w:pPr>
              <w:tabs>
                <w:tab w:val="left" w:pos="175"/>
              </w:tabs>
              <w:ind w:left="142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  <w:r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Лица, имеющие документы о среднем</w:t>
            </w:r>
            <w:r w:rsidR="002C3E31"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 общем/среднем профессиональном</w:t>
            </w:r>
            <w:r w:rsidRPr="00A7282C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 образовании</w:t>
            </w:r>
            <w:r w:rsidR="00CC0420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.  </w:t>
            </w:r>
            <w:r w:rsidR="00CC0420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ЕГЭ</w:t>
            </w:r>
            <w:r w:rsidR="00CC0420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 xml:space="preserve"> - </w:t>
            </w:r>
            <w:r w:rsidR="00CC0420"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  <w:t>математика, русский язык, обществознание/иностранный язык</w:t>
            </w: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00C60" w:rsidRPr="00F37277" w:rsidRDefault="00300C60" w:rsidP="00A7522E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Цел</w:t>
            </w:r>
            <w:r w:rsidR="00692183" w:rsidRPr="00064997">
              <w:rPr>
                <w:b/>
                <w:color w:val="244061" w:themeColor="accent1" w:themeShade="80"/>
                <w:sz w:val="24"/>
                <w:szCs w:val="24"/>
              </w:rPr>
              <w:t>и образовательной программы</w:t>
            </w:r>
          </w:p>
        </w:tc>
        <w:tc>
          <w:tcPr>
            <w:tcW w:w="8182" w:type="dxa"/>
            <w:vAlign w:val="center"/>
          </w:tcPr>
          <w:p w:rsidR="00AD2D35" w:rsidRPr="00061AF4" w:rsidRDefault="001A3781" w:rsidP="00B42A2B">
            <w:pPr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Подготовка квалифицированных управленцев в </w:t>
            </w:r>
            <w:r w:rsidR="00061AF4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сфере </w:t>
            </w:r>
            <w:r w:rsidR="00061AF4" w:rsidRPr="00061AF4">
              <w:rPr>
                <w:color w:val="244061" w:themeColor="accent1" w:themeShade="80"/>
                <w:sz w:val="22"/>
                <w:szCs w:val="22"/>
              </w:rPr>
              <w:t>внешнеэкономической деятельности</w:t>
            </w:r>
            <w:r w:rsidR="00C24C0E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,</w:t>
            </w:r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совершения таможенных операций, помещени</w:t>
            </w:r>
            <w:r w:rsidR="00687228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я</w:t>
            </w:r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товаров под таможенные процедуры, </w:t>
            </w:r>
            <w:r w:rsidR="00C24C0E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меж</w:t>
            </w:r>
            <w:bookmarkStart w:id="0" w:name="_GoBack"/>
            <w:bookmarkEnd w:id="0"/>
            <w:r w:rsidR="00C24C0E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дународных перевозок, а также </w:t>
            </w:r>
            <w:r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организации </w:t>
            </w:r>
            <w:r w:rsidR="00C73387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и повышения </w:t>
            </w:r>
            <w:proofErr w:type="gramStart"/>
            <w:r w:rsidR="00C73387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эффективности </w:t>
            </w:r>
            <w:r w:rsidR="00061AF4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деятельности</w:t>
            </w:r>
            <w:proofErr w:type="gramEnd"/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</w:t>
            </w:r>
            <w:r w:rsidR="00061AF4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предприятий</w:t>
            </w:r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по перемещению товаров через таможенную границу Евразийского Экономического Союза (</w:t>
            </w:r>
            <w:proofErr w:type="spellStart"/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ЕаЭС</w:t>
            </w:r>
            <w:proofErr w:type="spellEnd"/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)</w:t>
            </w:r>
            <w:r w:rsidR="00C73387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.</w:t>
            </w: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00C60" w:rsidRPr="00F37277" w:rsidRDefault="00300C60" w:rsidP="00A7522E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F37277" w:rsidRPr="001F3A9E" w:rsidTr="00C24C0E">
        <w:trPr>
          <w:trHeight w:val="70"/>
        </w:trPr>
        <w:tc>
          <w:tcPr>
            <w:tcW w:w="2733" w:type="dxa"/>
          </w:tcPr>
          <w:p w:rsidR="00F37277" w:rsidRPr="00064997" w:rsidRDefault="00F37277" w:rsidP="00F3727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8182" w:type="dxa"/>
          </w:tcPr>
          <w:p w:rsidR="00C24C0E" w:rsidRPr="00C24C0E" w:rsidRDefault="00C24C0E" w:rsidP="00C24C0E">
            <w:pPr>
              <w:tabs>
                <w:tab w:val="left" w:pos="175"/>
              </w:tabs>
              <w:ind w:left="142"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proofErr w:type="spellStart"/>
            <w:r w:rsidRPr="00C24C0E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Д.ю.н</w:t>
            </w:r>
            <w:proofErr w:type="spellEnd"/>
            <w:r w:rsidRPr="00C24C0E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., доцент, заведующий кафедрой частного права</w:t>
            </w:r>
          </w:p>
          <w:p w:rsidR="00F37277" w:rsidRPr="00D720AD" w:rsidRDefault="00C24C0E" w:rsidP="00C24C0E">
            <w:pPr>
              <w:tabs>
                <w:tab w:val="left" w:pos="175"/>
              </w:tabs>
              <w:ind w:left="142"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r w:rsidRPr="00C24C0E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 Мышко Федор Георгиеви</w:t>
            </w:r>
            <w:r w:rsid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ч</w:t>
            </w: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00C60" w:rsidRPr="00F37277" w:rsidRDefault="00300C60" w:rsidP="00A7522E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F355DA" w:rsidRDefault="00300C60" w:rsidP="00064997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355DA">
              <w:rPr>
                <w:b/>
                <w:color w:val="244061" w:themeColor="accent1" w:themeShade="80"/>
                <w:sz w:val="24"/>
                <w:szCs w:val="24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8182" w:type="dxa"/>
            <w:vAlign w:val="center"/>
          </w:tcPr>
          <w:p w:rsidR="00D46C9F" w:rsidRPr="00C03465" w:rsidRDefault="00F31D8C" w:rsidP="00F355D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right="-108" w:firstLine="0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Фундаментальная</w:t>
            </w:r>
            <w:r w:rsidR="00D46C9F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программа в сфере подготовки управленцев </w:t>
            </w:r>
            <w:r w:rsidR="00061AF4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для </w:t>
            </w:r>
            <w:r w:rsidR="00061AF4" w:rsidRPr="00061AF4">
              <w:rPr>
                <w:color w:val="244061" w:themeColor="accent1" w:themeShade="80"/>
                <w:sz w:val="22"/>
                <w:szCs w:val="22"/>
              </w:rPr>
              <w:t>внешнеэкономической деятельности</w:t>
            </w:r>
            <w:r w:rsidR="00061AF4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,</w:t>
            </w:r>
            <w:r w:rsid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совершения таможенных операций, помещение товаров под таможенные процедуры, </w:t>
            </w:r>
            <w:r w:rsidR="00061AF4" w:rsidRPr="00061AF4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международных перевозок</w:t>
            </w:r>
            <w:r w:rsidR="00D53332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.</w:t>
            </w:r>
          </w:p>
          <w:p w:rsidR="00F37277" w:rsidRPr="00D53332" w:rsidRDefault="0001617B" w:rsidP="00D53332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right="-108" w:firstLine="0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В</w:t>
            </w:r>
            <w:r w:rsidR="00C03465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proofErr w:type="gramStart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течение  всего</w:t>
            </w:r>
            <w:proofErr w:type="gramEnd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 периода  </w:t>
            </w:r>
            <w:r w:rsidR="00EC7BFA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обучения студенты </w:t>
            </w:r>
            <w:r w:rsidR="0029136E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="00D53332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в рамках проектного обучения и практической  работы</w:t>
            </w:r>
            <w:r w:rsidR="00D53332"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="0029136E"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взаимодействуют с ведущими</w:t>
            </w:r>
            <w:r w:rsidR="00061AF4"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предприятиями</w:t>
            </w:r>
            <w:r w:rsidR="00687228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,</w:t>
            </w:r>
            <w:r w:rsidR="00061AF4"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осуществляющими</w:t>
            </w:r>
            <w:r w:rsidR="0029136E"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="00061AF4" w:rsidRPr="00D53332">
              <w:rPr>
                <w:color w:val="244061" w:themeColor="accent1" w:themeShade="80"/>
                <w:sz w:val="22"/>
                <w:szCs w:val="22"/>
              </w:rPr>
              <w:t xml:space="preserve"> внешнеэкономическую деятельность</w:t>
            </w:r>
            <w:r w:rsidR="00061AF4" w:rsidRPr="00D53332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, являющимися таможенными представителями и уполномоченными экономическими операторами</w:t>
            </w:r>
            <w:r w:rsidR="00D53332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.</w:t>
            </w:r>
          </w:p>
          <w:p w:rsidR="00C72B5A" w:rsidRPr="00D53332" w:rsidRDefault="00C72B5A" w:rsidP="00C72B5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right="-108" w:firstLine="0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Сочетание классических традиций высшего образования и практическ</w:t>
            </w:r>
            <w:r w:rsidR="00687228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ой</w:t>
            </w:r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направленност</w:t>
            </w:r>
            <w:r w:rsidR="00687228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и</w:t>
            </w:r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преподаваемых дисциплин.</w:t>
            </w:r>
          </w:p>
          <w:p w:rsidR="00C72B5A" w:rsidRPr="00D53332" w:rsidRDefault="00C72B5A" w:rsidP="00C72B5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right="-108" w:firstLine="0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Составляющая таможенного образования как база для построения карьеры специалиста по таможенным операциям, руководителя организации, осуществляющего внешнеторговую деятельность, а также должностного лица таможенных органов.</w:t>
            </w:r>
          </w:p>
          <w:p w:rsidR="00AD2D35" w:rsidRPr="00D53332" w:rsidRDefault="00AD2D35" w:rsidP="00C72B5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0" w:right="-108" w:firstLine="0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100% дисциплин обеспечены спикерами </w:t>
            </w:r>
            <w:proofErr w:type="gramStart"/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из</w:t>
            </w:r>
            <w:r w:rsidR="00B42A2B"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числа</w:t>
            </w:r>
            <w:proofErr w:type="gramEnd"/>
            <w:r w:rsidRP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работодателей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.</w:t>
            </w:r>
          </w:p>
          <w:p w:rsidR="002F7950" w:rsidRPr="00C03465" w:rsidRDefault="00F37277" w:rsidP="00F355D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0"/>
              <w:ind w:left="0" w:right="-108" w:firstLine="0"/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Сочетание базовой подготовки по направлению «Менеджмент» со специальными дисциплинами</w:t>
            </w:r>
            <w:r w:rsidR="00F31D8C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из </w:t>
            </w:r>
            <w:proofErr w:type="gramStart"/>
            <w:r w:rsidR="00F31D8C"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области </w:t>
            </w:r>
            <w:r w:rsidR="00D53332" w:rsidRPr="00061AF4">
              <w:rPr>
                <w:color w:val="244061" w:themeColor="accent1" w:themeShade="80"/>
                <w:sz w:val="22"/>
                <w:szCs w:val="22"/>
              </w:rPr>
              <w:t xml:space="preserve"> внешнеэкономической</w:t>
            </w:r>
            <w:proofErr w:type="gramEnd"/>
            <w:r w:rsidR="00D53332" w:rsidRPr="00061AF4">
              <w:rPr>
                <w:color w:val="244061" w:themeColor="accent1" w:themeShade="80"/>
                <w:sz w:val="22"/>
                <w:szCs w:val="22"/>
              </w:rPr>
              <w:t xml:space="preserve"> деятельности</w:t>
            </w:r>
            <w:r w:rsidR="00D53332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 xml:space="preserve"> и совершения таможенных операций</w:t>
            </w:r>
          </w:p>
          <w:p w:rsidR="00EB59A4" w:rsidRPr="00C03465" w:rsidRDefault="00EB59A4" w:rsidP="00EB59A4">
            <w:pPr>
              <w:pStyle w:val="a3"/>
              <w:spacing w:before="0"/>
              <w:ind w:left="0" w:right="-108"/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lastRenderedPageBreak/>
              <w:t>Особенности реализации подготовки по данной образовательной программе</w:t>
            </w:r>
          </w:p>
        </w:tc>
        <w:tc>
          <w:tcPr>
            <w:tcW w:w="8182" w:type="dxa"/>
            <w:vAlign w:val="center"/>
          </w:tcPr>
          <w:p w:rsidR="00C72B5A" w:rsidRPr="00C72B5A" w:rsidRDefault="00C72B5A" w:rsidP="00C72B5A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Обеспечение качественной теоретической и практической подготовки специалиста по таможенным операциям. </w:t>
            </w:r>
          </w:p>
          <w:p w:rsidR="00C72B5A" w:rsidRPr="00C72B5A" w:rsidRDefault="00C72B5A" w:rsidP="00C72B5A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Изучение дисциплин по основным направлениям таможенной </w:t>
            </w:r>
            <w:r w:rsidR="00D53332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и внешнеэкономической </w:t>
            </w: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деятельности, включая международное таможенное регулирование. </w:t>
            </w:r>
          </w:p>
          <w:p w:rsidR="00C72B5A" w:rsidRPr="00C72B5A" w:rsidRDefault="00C72B5A" w:rsidP="00C72B5A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Большое количество практически ориентированных дисциплин </w:t>
            </w:r>
            <w:r w:rsidR="00D53332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в области </w:t>
            </w: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таможенной </w:t>
            </w:r>
            <w:r w:rsidR="00D53332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и внешнеэкономической </w:t>
            </w:r>
            <w:r w:rsidR="00D53332"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деятельности</w:t>
            </w:r>
            <w:r w:rsidR="00D53332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.</w:t>
            </w:r>
          </w:p>
          <w:p w:rsidR="00C72B5A" w:rsidRDefault="00C72B5A" w:rsidP="00C72B5A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 Обучение основам таможенного дела применительно к осуществлению таможенных операций, таможенного контроля, таможенных платежей, помещения товаров под таможенные </w:t>
            </w:r>
            <w:r w:rsidR="00D53332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процедуры</w:t>
            </w:r>
            <w:r w:rsidRPr="00C72B5A"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>.</w:t>
            </w:r>
          </w:p>
          <w:p w:rsidR="00C800E7" w:rsidRDefault="00C800E7" w:rsidP="00C03465">
            <w:pPr>
              <w:contextualSpacing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</w:p>
          <w:p w:rsidR="0029136E" w:rsidRPr="00C063B7" w:rsidRDefault="0029136E" w:rsidP="00C03465">
            <w:pPr>
              <w:contextualSpacing/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F243E"/>
                <w:sz w:val="22"/>
                <w:szCs w:val="22"/>
              </w:rPr>
              <w:t xml:space="preserve">При реализации программы предполагается проектный подход к обучению </w:t>
            </w: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300C60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22277A" w:rsidRPr="00F37277" w:rsidRDefault="0022277A" w:rsidP="00F37277">
            <w:pPr>
              <w:tabs>
                <w:tab w:val="num" w:pos="426"/>
              </w:tabs>
              <w:ind w:right="2525"/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00C60" w:rsidRPr="00064997" w:rsidRDefault="00692183" w:rsidP="00064997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Деловые партнеры</w:t>
            </w:r>
          </w:p>
        </w:tc>
        <w:tc>
          <w:tcPr>
            <w:tcW w:w="8182" w:type="dxa"/>
            <w:tcBorders>
              <w:left w:val="nil"/>
            </w:tcBorders>
            <w:vAlign w:val="center"/>
          </w:tcPr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ОАО РЖД</w:t>
            </w:r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ПАО «Аэрофлот»</w:t>
            </w:r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АО «Первая грузовая компания»</w:t>
            </w:r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Транспортная группа </w:t>
            </w:r>
            <w:proofErr w:type="spellStart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Fesco</w:t>
            </w:r>
            <w:proofErr w:type="spellEnd"/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АО</w:t>
            </w: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  <w:t xml:space="preserve"> «</w:t>
            </w: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ФМ</w:t>
            </w: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ЛОЖИСТИК</w:t>
            </w: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  <w:t>» (FM Logistic)</w:t>
            </w:r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АО «ДПД РУС» (DPD)</w:t>
            </w:r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АО</w:t>
            </w: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Фрейт</w:t>
            </w:r>
            <w:proofErr w:type="spellEnd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Линк</w:t>
            </w:r>
            <w:proofErr w:type="spellEnd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lang w:val="en-US"/>
              </w:rPr>
              <w:t>» (Pony Express)</w:t>
            </w:r>
          </w:p>
          <w:p w:rsidR="00C800E7" w:rsidRPr="00C800E7" w:rsidRDefault="00C800E7" w:rsidP="00C800E7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УФАС России по г. Москве</w:t>
            </w:r>
          </w:p>
          <w:p w:rsidR="00C800E7" w:rsidRPr="00C800E7" w:rsidRDefault="00C800E7" w:rsidP="00C800E7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Арбитражный суд г. Москвы </w:t>
            </w:r>
          </w:p>
          <w:p w:rsidR="00C800E7" w:rsidRPr="00C800E7" w:rsidRDefault="00C800E7" w:rsidP="00C800E7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Федеральная таможенная служба</w:t>
            </w:r>
          </w:p>
          <w:p w:rsidR="00C800E7" w:rsidRDefault="00C800E7" w:rsidP="00C800E7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Евразийская экономическая комиссия (ЕЭК)</w:t>
            </w:r>
          </w:p>
          <w:p w:rsidR="00C03465" w:rsidRPr="00C03465" w:rsidRDefault="00C03465" w:rsidP="00C03465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ООО «СТС </w:t>
            </w:r>
            <w:proofErr w:type="spellStart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Логистикс</w:t>
            </w:r>
            <w:proofErr w:type="spellEnd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Проекты» (STS </w:t>
            </w:r>
            <w:proofErr w:type="spellStart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Logistics</w:t>
            </w:r>
            <w:proofErr w:type="spellEnd"/>
            <w:r w:rsidRPr="00C03465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)</w:t>
            </w:r>
            <w:r w:rsid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и др.</w:t>
            </w:r>
          </w:p>
          <w:p w:rsidR="00F37277" w:rsidRPr="00B42A2B" w:rsidRDefault="00F37277" w:rsidP="00B42A2B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D46781" w:rsidRPr="00D46781" w:rsidTr="00C24C0E">
        <w:trPr>
          <w:trHeight w:val="70"/>
        </w:trPr>
        <w:tc>
          <w:tcPr>
            <w:tcW w:w="2733" w:type="dxa"/>
          </w:tcPr>
          <w:p w:rsidR="00D46781" w:rsidRPr="00064997" w:rsidRDefault="00D46781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D46781" w:rsidRPr="00F37277" w:rsidRDefault="00D46781" w:rsidP="00A7522E">
            <w:pPr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1F3A9E" w:rsidRPr="001F3A9E" w:rsidTr="00C24C0E">
        <w:trPr>
          <w:trHeight w:val="70"/>
        </w:trPr>
        <w:tc>
          <w:tcPr>
            <w:tcW w:w="2733" w:type="dxa"/>
          </w:tcPr>
          <w:p w:rsidR="00320C75" w:rsidRPr="00064997" w:rsidRDefault="00692183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64997">
              <w:rPr>
                <w:b/>
                <w:color w:val="244061" w:themeColor="accent1" w:themeShade="80"/>
                <w:sz w:val="24"/>
                <w:szCs w:val="24"/>
              </w:rPr>
              <w:t>П</w:t>
            </w:r>
            <w:r w:rsidR="00D46781" w:rsidRPr="00064997">
              <w:rPr>
                <w:b/>
                <w:color w:val="244061" w:themeColor="accent1" w:themeShade="80"/>
                <w:sz w:val="24"/>
                <w:szCs w:val="24"/>
              </w:rPr>
              <w:t>рофессиональные дисциплины</w:t>
            </w:r>
          </w:p>
        </w:tc>
        <w:tc>
          <w:tcPr>
            <w:tcW w:w="8182" w:type="dxa"/>
            <w:vAlign w:val="center"/>
          </w:tcPr>
          <w:tbl>
            <w:tblPr>
              <w:tblStyle w:val="a5"/>
              <w:tblpPr w:leftFromText="180" w:rightFromText="180" w:vertAnchor="text" w:tblpX="-993" w:tblpY="1"/>
              <w:tblOverlap w:val="never"/>
              <w:tblW w:w="8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4"/>
            </w:tblGrid>
            <w:tr w:rsidR="00F37277" w:rsidRPr="00F37277" w:rsidTr="000D45BD">
              <w:trPr>
                <w:trHeight w:val="70"/>
              </w:trPr>
              <w:tc>
                <w:tcPr>
                  <w:tcW w:w="8364" w:type="dxa"/>
                  <w:shd w:val="clear" w:color="auto" w:fill="auto"/>
                </w:tcPr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Гражданское право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Международное публичное право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Правовое обеспечение таможенного дела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Международное частное право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Трудовое право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Внешнеторговый контракт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Международные перевозки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Экономика и анализ деятельности организации-участника ВЭД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Прогнозирование и планирование внешнеторговой деятельности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Международное торговое право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 xml:space="preserve">Международное таможенное право 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Таможенное право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Таможенное делопроизводство</w:t>
                  </w:r>
                </w:p>
                <w:p w:rsidR="00D53332" w:rsidRPr="00D53332" w:rsidRDefault="00D53332" w:rsidP="00D53332">
                  <w:pPr>
                    <w:pStyle w:val="a3"/>
                    <w:numPr>
                      <w:ilvl w:val="0"/>
                      <w:numId w:val="18"/>
                    </w:numPr>
                    <w:spacing w:before="0"/>
                    <w:contextualSpacing w:val="0"/>
                    <w:rPr>
                      <w:rFonts w:eastAsia="Times New Roman"/>
                      <w:color w:val="244061" w:themeColor="accent1" w:themeShade="80"/>
                      <w:sz w:val="22"/>
                      <w:szCs w:val="22"/>
                    </w:rPr>
                  </w:pPr>
                  <w:r w:rsidRPr="00D53332">
                    <w:rPr>
                      <w:rStyle w:val="contentpasted0mrcssattr"/>
                      <w:rFonts w:eastAsia="Calibri" w:cs="Times New Roman"/>
                      <w:bCs/>
                      <w:color w:val="244061" w:themeColor="accent1" w:themeShade="80"/>
                      <w:kern w:val="24"/>
                      <w:sz w:val="22"/>
                      <w:szCs w:val="22"/>
                      <w:shd w:val="clear" w:color="auto" w:fill="FFFFFF"/>
                    </w:rPr>
                    <w:t>Технологии электронной таможни</w:t>
                  </w:r>
                </w:p>
                <w:p w:rsidR="002E4DE1" w:rsidRPr="00F37277" w:rsidRDefault="002E4DE1" w:rsidP="00D53332">
                  <w:pPr>
                    <w:pStyle w:val="a3"/>
                    <w:ind w:left="177"/>
                    <w:rPr>
                      <w:rFonts w:ascii="Calibri" w:eastAsia="Times New Roman" w:hAnsi="Calibri" w:cs="Times New Roman"/>
                      <w:color w:val="0F243E"/>
                      <w:sz w:val="22"/>
                      <w:szCs w:val="22"/>
                    </w:rPr>
                  </w:pPr>
                </w:p>
              </w:tc>
            </w:tr>
          </w:tbl>
          <w:p w:rsidR="00320C75" w:rsidRPr="00F37277" w:rsidRDefault="00320C75" w:rsidP="00F37277">
            <w:pPr>
              <w:pStyle w:val="a3"/>
              <w:spacing w:before="0"/>
              <w:ind w:left="317"/>
              <w:jc w:val="both"/>
              <w:rPr>
                <w:rFonts w:ascii="Calibri" w:eastAsia="Times New Roman" w:hAnsi="Calibri" w:cs="Times New Roman"/>
                <w:color w:val="244061" w:themeColor="accent1" w:themeShade="80"/>
                <w:sz w:val="22"/>
                <w:szCs w:val="22"/>
              </w:rPr>
            </w:pPr>
          </w:p>
        </w:tc>
      </w:tr>
      <w:tr w:rsidR="00D374E5" w:rsidRPr="001F3A9E" w:rsidTr="00C24C0E">
        <w:trPr>
          <w:trHeight w:val="70"/>
        </w:trPr>
        <w:tc>
          <w:tcPr>
            <w:tcW w:w="2733" w:type="dxa"/>
          </w:tcPr>
          <w:p w:rsidR="00D374E5" w:rsidRPr="00064997" w:rsidRDefault="00D374E5" w:rsidP="00064997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8182" w:type="dxa"/>
            <w:vAlign w:val="center"/>
          </w:tcPr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Коммерческие организации, осуществляющие внешнеэкономическую 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и таможенную </w:t>
            </w:r>
            <w:r w:rsidR="00D53332"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деятельность</w:t>
            </w: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; </w:t>
            </w:r>
            <w:r w:rsidR="00687228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д</w:t>
            </w: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олжностные лица таможенных органов;</w:t>
            </w:r>
          </w:p>
          <w:p w:rsidR="00C800E7" w:rsidRDefault="00687228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ч</w:t>
            </w:r>
            <w:r w:rsidR="00C800E7"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астная предпринимательская деятельность по оказанию услуг в области 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совершения </w:t>
            </w:r>
            <w:r w:rsidR="00C800E7"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таможенн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ых</w:t>
            </w:r>
            <w:r w:rsidR="00C800E7"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операций и помещени</w:t>
            </w: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я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товаров под таможенные процедуры</w:t>
            </w:r>
            <w:r w:rsidR="00C800E7"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.</w:t>
            </w:r>
          </w:p>
          <w:p w:rsidR="00C800E7" w:rsidRDefault="00C800E7" w:rsidP="00B42A2B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  <w:p w:rsidR="003B313D" w:rsidRDefault="000D45BD" w:rsidP="00B42A2B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Кафедра ведет активную работу по трудоустройству своих выпускников. </w:t>
            </w:r>
            <w:r w:rsid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7</w:t>
            </w: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0</w:t>
            </w:r>
            <w:r w:rsidR="00D53332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% выпускников</w:t>
            </w: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="00D53332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кафедры находят</w:t>
            </w: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="00D53332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работу еще</w:t>
            </w:r>
            <w:r w:rsidR="00B42A2B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в процессе практической </w:t>
            </w:r>
            <w:r w:rsidR="00D53332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деятельности на</w:t>
            </w: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предприятиях-</w:t>
            </w:r>
            <w:r w:rsidR="00D53332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партнерах в</w:t>
            </w:r>
            <w:r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период обучения</w:t>
            </w:r>
            <w:r w:rsidR="00B42A2B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. </w:t>
            </w:r>
            <w:r w:rsidR="00AD2D35" w:rsidRPr="00B42A2B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По окончании обучения на программе выпускник может занять одну из следующих позиций: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менеджер в 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компаниях – таможенных представителях</w:t>
            </w:r>
          </w:p>
          <w:p w:rsidR="007F1F80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lastRenderedPageBreak/>
              <w:t xml:space="preserve">государственный служащий </w:t>
            </w:r>
            <w:r w:rsidR="00D53332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Федеральной Таможенной Службы России (ФТС России)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собственник бизнеса в </w:t>
            </w:r>
            <w:r w:rsidR="007F1F80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сфере таможенных перевозок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менеджер внешнеэкономической деятельности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специалист в сфере клиентского сервиса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специалист отдела качества</w:t>
            </w:r>
            <w:r w:rsidR="007F1F80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перемещения товара 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</w:t>
            </w: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пециалист по таможенным операциям </w:t>
            </w:r>
          </w:p>
          <w:p w:rsidR="00C800E7" w:rsidRPr="00C800E7" w:rsidRDefault="00C800E7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д</w:t>
            </w:r>
            <w:r w:rsidRPr="00C800E7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олжностные лица таможенных органов </w:t>
            </w:r>
          </w:p>
          <w:p w:rsidR="00C800E7" w:rsidRDefault="007F1F80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специалист по подбору персонала</w:t>
            </w:r>
          </w:p>
          <w:p w:rsidR="00325DBF" w:rsidRDefault="00325DBF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  <w:p w:rsidR="00325DBF" w:rsidRPr="00B42A2B" w:rsidRDefault="00325DBF" w:rsidP="00C800E7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D374E5" w:rsidRPr="001F3A9E" w:rsidTr="00C24C0E">
        <w:trPr>
          <w:trHeight w:val="70"/>
        </w:trPr>
        <w:tc>
          <w:tcPr>
            <w:tcW w:w="2733" w:type="dxa"/>
          </w:tcPr>
          <w:p w:rsidR="00D374E5" w:rsidRDefault="00D374E5" w:rsidP="00EB59A4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25DBF" w:rsidRPr="00CC0420" w:rsidRDefault="00325DBF" w:rsidP="00325DBF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u w:val="single"/>
              </w:rPr>
            </w:pPr>
            <w:r w:rsidRPr="00CC0420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u w:val="single"/>
              </w:rPr>
              <w:t>С</w:t>
            </w:r>
            <w:r w:rsidRPr="00CC0420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  <w:u w:val="single"/>
              </w:rPr>
              <w:t>пециалист по таможенным операциям</w:t>
            </w:r>
          </w:p>
          <w:p w:rsidR="00325DBF" w:rsidRPr="00CC0420" w:rsidRDefault="00325DBF" w:rsidP="00325DBF">
            <w:pPr>
              <w:rPr>
                <w:rFonts w:eastAsia="Times New Roman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Чем занимается: Специалист</w:t>
            </w:r>
            <w:r w:rsidR="00CC0420"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  <w:t xml:space="preserve"> </w:t>
            </w:r>
            <w:r w:rsidRPr="00CC0420">
              <w:rPr>
                <w:rFonts w:cstheme="minorHAnsi"/>
                <w:bCs/>
                <w:color w:val="244061" w:themeColor="accent1" w:themeShade="80"/>
                <w:sz w:val="22"/>
                <w:szCs w:val="22"/>
                <w:shd w:val="clear" w:color="auto" w:fill="FFFFFF"/>
              </w:rPr>
              <w:t>представляющ</w:t>
            </w:r>
            <w:r w:rsidR="00CC0420" w:rsidRPr="00CC0420">
              <w:rPr>
                <w:rFonts w:cstheme="minorHAnsi"/>
                <w:bCs/>
                <w:color w:val="244061" w:themeColor="accent1" w:themeShade="80"/>
                <w:sz w:val="22"/>
                <w:szCs w:val="22"/>
                <w:shd w:val="clear" w:color="auto" w:fill="FFFFFF"/>
              </w:rPr>
              <w:t>ий</w:t>
            </w:r>
            <w:r w:rsidRPr="00CC0420">
              <w:rPr>
                <w:rFonts w:cstheme="minorHAnsi"/>
                <w:bCs/>
                <w:color w:val="244061" w:themeColor="accent1" w:themeShade="80"/>
                <w:sz w:val="22"/>
                <w:szCs w:val="22"/>
                <w:shd w:val="clear" w:color="auto" w:fill="FFFFFF"/>
              </w:rPr>
              <w:t xml:space="preserve"> интересы компании, занимающейся внешней экономической деятельностью, на таможне</w:t>
            </w:r>
            <w:r w:rsidRPr="00CC0420">
              <w:rPr>
                <w:rFonts w:cstheme="minorHAnsi"/>
                <w:color w:val="244061" w:themeColor="accent1" w:themeShade="80"/>
                <w:sz w:val="22"/>
                <w:szCs w:val="22"/>
                <w:shd w:val="clear" w:color="auto" w:fill="FFFFFF"/>
              </w:rPr>
              <w:t>. Такие специалисты берут на себя все заботы, связанные с оформлением пропускной документации и необходимых сертификатов на всех этапах следования груза по маршруту.</w:t>
            </w:r>
          </w:p>
          <w:p w:rsidR="003B313D" w:rsidRPr="00325DBF" w:rsidRDefault="003B313D" w:rsidP="00325DBF">
            <w:pPr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D374E5" w:rsidRPr="001F3A9E" w:rsidTr="00C24C0E">
        <w:trPr>
          <w:trHeight w:val="173"/>
        </w:trPr>
        <w:tc>
          <w:tcPr>
            <w:tcW w:w="2733" w:type="dxa"/>
          </w:tcPr>
          <w:p w:rsidR="00D374E5" w:rsidRDefault="00D374E5" w:rsidP="00EB59A4">
            <w:pPr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A3471" w:rsidRPr="00B42A2B" w:rsidRDefault="000A3471" w:rsidP="00EB59A4">
            <w:pPr>
              <w:pStyle w:val="a3"/>
              <w:spacing w:before="0"/>
              <w:ind w:left="177"/>
              <w:rPr>
                <w:rFonts w:ascii="Calibri" w:eastAsia="Times New Roman" w:hAnsi="Calibri" w:cs="Times New Roman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D374E5" w:rsidRPr="0081053B" w:rsidRDefault="00D374E5" w:rsidP="002E0838">
      <w:pPr>
        <w:tabs>
          <w:tab w:val="left" w:pos="3660"/>
        </w:tabs>
      </w:pPr>
    </w:p>
    <w:sectPr w:rsidR="00D374E5" w:rsidRPr="0081053B" w:rsidSect="00DA6386">
      <w:headerReference w:type="default" r:id="rId8"/>
      <w:footerReference w:type="default" r:id="rId9"/>
      <w:pgSz w:w="11906" w:h="16838"/>
      <w:pgMar w:top="426" w:right="992" w:bottom="851" w:left="1701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7356" w16cex:dateUtc="2021-01-22T12:52:00Z"/>
  <w16cex:commentExtensible w16cex:durableId="23B5792C" w16cex:dateUtc="2021-01-22T13:17:00Z"/>
  <w16cex:commentExtensible w16cex:durableId="23B57361" w16cex:dateUtc="2021-01-22T12:53:00Z"/>
  <w16cex:commentExtensible w16cex:durableId="23B5722C" w16cex:dateUtc="2021-01-22T12:47:00Z"/>
  <w16cex:commentExtensible w16cex:durableId="23B571A8" w16cex:dateUtc="2021-01-22T12:45:00Z"/>
  <w16cex:commentExtensible w16cex:durableId="23B57034" w16cex:dateUtc="2021-01-22T12:39:00Z"/>
  <w16cex:commentExtensible w16cex:durableId="23B570CB" w16cex:dateUtc="2021-01-22T12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3B7" w:rsidRDefault="007E43B7" w:rsidP="00787318">
      <w:pPr>
        <w:spacing w:after="0" w:line="240" w:lineRule="auto"/>
      </w:pPr>
      <w:r>
        <w:separator/>
      </w:r>
    </w:p>
  </w:endnote>
  <w:endnote w:type="continuationSeparator" w:id="0">
    <w:p w:rsidR="007E43B7" w:rsidRDefault="007E43B7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33" w:rsidRDefault="00C72B5A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F9717A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8602980" cy="50482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2980" cy="5048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033" w:rsidRPr="002E0838" w:rsidRDefault="00901844" w:rsidP="009C0033">
                          <w:pPr>
                            <w:pStyle w:val="a6"/>
                            <w:ind w:firstLine="851"/>
                            <w:rPr>
                              <w:sz w:val="16"/>
                            </w:rPr>
                          </w:pPr>
                          <w:r w:rsidRPr="002E0838">
                            <w:rPr>
                              <w:sz w:val="16"/>
                            </w:rPr>
                            <w:t>Образовательная программа</w:t>
                          </w:r>
                        </w:p>
                        <w:p w:rsidR="002E0838" w:rsidRPr="002E0838" w:rsidRDefault="0081053B" w:rsidP="0081053B">
                          <w:pPr>
                            <w:pStyle w:val="a6"/>
                            <w:ind w:firstLine="85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Управление транспортно-логистическими системами</w:t>
                          </w:r>
                        </w:p>
                        <w:p w:rsidR="00D720AD" w:rsidRPr="002E0838" w:rsidRDefault="0081053B" w:rsidP="00DA6386">
                          <w:pPr>
                            <w:pStyle w:val="a6"/>
                            <w:ind w:firstLine="851"/>
                            <w:rPr>
                              <w:sz w:val="16"/>
                            </w:rPr>
                          </w:pPr>
                          <w:r w:rsidRPr="0081053B">
                            <w:rPr>
                              <w:sz w:val="16"/>
                            </w:rPr>
                            <w:t>Whats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A</w:t>
                          </w:r>
                          <w:r w:rsidRPr="0081053B">
                            <w:rPr>
                              <w:sz w:val="16"/>
                            </w:rPr>
                            <w:t>pp: +79104057555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971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5pt;width:677.4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" fillcolor="#17365d [2415]" stroked="f">
              <v:textbox>
                <w:txbxContent>
                  <w:p w:rsidR="009C0033" w:rsidRPr="002E0838" w:rsidRDefault="00901844" w:rsidP="009C0033">
                    <w:pPr>
                      <w:pStyle w:val="a6"/>
                      <w:ind w:firstLine="851"/>
                      <w:rPr>
                        <w:sz w:val="16"/>
                      </w:rPr>
                    </w:pPr>
                    <w:r w:rsidRPr="002E0838">
                      <w:rPr>
                        <w:sz w:val="16"/>
                      </w:rPr>
                      <w:t>Образовательная программа</w:t>
                    </w:r>
                  </w:p>
                  <w:p w:rsidR="002E0838" w:rsidRPr="002E0838" w:rsidRDefault="0081053B" w:rsidP="0081053B">
                    <w:pPr>
                      <w:pStyle w:val="a6"/>
                      <w:ind w:firstLine="8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Управление транспортно-логистическими системами</w:t>
                    </w:r>
                  </w:p>
                  <w:p w:rsidR="00D720AD" w:rsidRPr="002E0838" w:rsidRDefault="0081053B" w:rsidP="00DA6386">
                    <w:pPr>
                      <w:pStyle w:val="a6"/>
                      <w:ind w:firstLine="851"/>
                      <w:rPr>
                        <w:sz w:val="16"/>
                      </w:rPr>
                    </w:pPr>
                    <w:r w:rsidRPr="0081053B">
                      <w:rPr>
                        <w:sz w:val="16"/>
                      </w:rPr>
                      <w:t>Whats</w:t>
                    </w:r>
                    <w:r>
                      <w:rPr>
                        <w:sz w:val="16"/>
                        <w:lang w:val="en-US"/>
                      </w:rPr>
                      <w:t>A</w:t>
                    </w:r>
                    <w:r w:rsidRPr="0081053B">
                      <w:rPr>
                        <w:sz w:val="16"/>
                      </w:rPr>
                      <w:t>pp: +79104057555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3B7" w:rsidRDefault="007E43B7" w:rsidP="00787318">
      <w:pPr>
        <w:spacing w:after="0" w:line="240" w:lineRule="auto"/>
      </w:pPr>
      <w:r>
        <w:separator/>
      </w:r>
    </w:p>
  </w:footnote>
  <w:footnote w:type="continuationSeparator" w:id="0">
    <w:p w:rsidR="007E43B7" w:rsidRDefault="007E43B7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33" w:rsidRDefault="00C72B5A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16B76C">
              <wp:simplePos x="0" y="0"/>
              <wp:positionH relativeFrom="column">
                <wp:posOffset>-1072515</wp:posOffset>
              </wp:positionH>
              <wp:positionV relativeFrom="paragraph">
                <wp:posOffset>-187325</wp:posOffset>
              </wp:positionV>
              <wp:extent cx="7529195" cy="26225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622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033" w:rsidRDefault="00901844" w:rsidP="009C0033">
                          <w:pPr>
                            <w:pStyle w:val="a6"/>
                            <w:ind w:firstLine="851"/>
                          </w:pPr>
                          <w:r w:rsidRPr="009C0033">
                            <w:t>ГОСУДАРСТВЕННЫЙ УНИВЕРСИТЕТ УПРАВЛЕНИЯ</w:t>
                          </w:r>
                        </w:p>
                        <w:p w:rsidR="009C0033" w:rsidRDefault="007E43B7" w:rsidP="009C0033">
                          <w:pPr>
                            <w:ind w:firstLine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7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4.45pt;margin-top:-14.75pt;width:592.8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    <v:textbox>
                <w:txbxContent>
                  <w:p w:rsidR="009C0033" w:rsidRDefault="00901844" w:rsidP="009C0033">
                    <w:pPr>
                      <w:pStyle w:val="a6"/>
                      <w:ind w:firstLine="851"/>
                    </w:pPr>
                    <w:r w:rsidRPr="009C0033">
                      <w:t>ГОСУДАРСТВЕННЫЙ УНИВЕРСИТЕТ УПРАВЛЕНИЯ</w:t>
                    </w:r>
                  </w:p>
                  <w:p w:rsidR="009C0033" w:rsidRDefault="007E43B7" w:rsidP="009C0033">
                    <w:pPr>
                      <w:ind w:firstLine="851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7BE"/>
    <w:multiLevelType w:val="hybridMultilevel"/>
    <w:tmpl w:val="0F242720"/>
    <w:lvl w:ilvl="0" w:tplc="404AA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AFC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66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01F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E8A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C4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60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47E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8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F88"/>
    <w:multiLevelType w:val="hybridMultilevel"/>
    <w:tmpl w:val="1384FE5A"/>
    <w:lvl w:ilvl="0" w:tplc="598EF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688"/>
    <w:multiLevelType w:val="hybridMultilevel"/>
    <w:tmpl w:val="31F611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0775E6"/>
    <w:multiLevelType w:val="hybridMultilevel"/>
    <w:tmpl w:val="8934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005"/>
    <w:multiLevelType w:val="hybridMultilevel"/>
    <w:tmpl w:val="349C9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036AD"/>
    <w:multiLevelType w:val="hybridMultilevel"/>
    <w:tmpl w:val="C2BAD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E08DE"/>
    <w:multiLevelType w:val="hybridMultilevel"/>
    <w:tmpl w:val="CFA0C4DE"/>
    <w:lvl w:ilvl="0" w:tplc="F28C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073E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CE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7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A3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2E17ED"/>
    <w:multiLevelType w:val="hybridMultilevel"/>
    <w:tmpl w:val="3662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453ACB"/>
    <w:multiLevelType w:val="hybridMultilevel"/>
    <w:tmpl w:val="CB7C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76896"/>
    <w:multiLevelType w:val="hybridMultilevel"/>
    <w:tmpl w:val="1DDC0C4C"/>
    <w:lvl w:ilvl="0" w:tplc="33E8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C2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22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23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C0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2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0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926D41"/>
    <w:multiLevelType w:val="hybridMultilevel"/>
    <w:tmpl w:val="A14A30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411082A"/>
    <w:multiLevelType w:val="hybridMultilevel"/>
    <w:tmpl w:val="E3D0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4705"/>
    <w:multiLevelType w:val="hybridMultilevel"/>
    <w:tmpl w:val="99001A4E"/>
    <w:lvl w:ilvl="0" w:tplc="A4302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7"/>
  </w:num>
  <w:num w:numId="7">
    <w:abstractNumId w:val="13"/>
  </w:num>
  <w:num w:numId="8">
    <w:abstractNumId w:val="1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60"/>
    <w:rsid w:val="00010DDD"/>
    <w:rsid w:val="0001547A"/>
    <w:rsid w:val="0001617B"/>
    <w:rsid w:val="000274A0"/>
    <w:rsid w:val="00061AF4"/>
    <w:rsid w:val="00064997"/>
    <w:rsid w:val="00067C68"/>
    <w:rsid w:val="0008539E"/>
    <w:rsid w:val="000955FA"/>
    <w:rsid w:val="000A04D7"/>
    <w:rsid w:val="000A3471"/>
    <w:rsid w:val="000A517F"/>
    <w:rsid w:val="000A73C1"/>
    <w:rsid w:val="000D45BD"/>
    <w:rsid w:val="0010612D"/>
    <w:rsid w:val="00106E96"/>
    <w:rsid w:val="00114E36"/>
    <w:rsid w:val="00120E10"/>
    <w:rsid w:val="001218C2"/>
    <w:rsid w:val="00130BC9"/>
    <w:rsid w:val="00131F69"/>
    <w:rsid w:val="0016004D"/>
    <w:rsid w:val="001626DD"/>
    <w:rsid w:val="001777C5"/>
    <w:rsid w:val="001A3781"/>
    <w:rsid w:val="001B2DAB"/>
    <w:rsid w:val="001E3452"/>
    <w:rsid w:val="001F3A9E"/>
    <w:rsid w:val="00203A71"/>
    <w:rsid w:val="0022277A"/>
    <w:rsid w:val="00227E07"/>
    <w:rsid w:val="00243DB3"/>
    <w:rsid w:val="00247F7C"/>
    <w:rsid w:val="00263DBA"/>
    <w:rsid w:val="0029136E"/>
    <w:rsid w:val="002C3E31"/>
    <w:rsid w:val="002E0838"/>
    <w:rsid w:val="002E4DE1"/>
    <w:rsid w:val="002F5DD0"/>
    <w:rsid w:val="002F7950"/>
    <w:rsid w:val="00300C60"/>
    <w:rsid w:val="00320C75"/>
    <w:rsid w:val="00325DBF"/>
    <w:rsid w:val="003504E4"/>
    <w:rsid w:val="00353A8D"/>
    <w:rsid w:val="0036226E"/>
    <w:rsid w:val="003643A8"/>
    <w:rsid w:val="0037161C"/>
    <w:rsid w:val="003B1D68"/>
    <w:rsid w:val="003B313D"/>
    <w:rsid w:val="003B48E9"/>
    <w:rsid w:val="00415834"/>
    <w:rsid w:val="0042149D"/>
    <w:rsid w:val="00423808"/>
    <w:rsid w:val="00424E57"/>
    <w:rsid w:val="0043541B"/>
    <w:rsid w:val="0045403B"/>
    <w:rsid w:val="004631D9"/>
    <w:rsid w:val="00463D31"/>
    <w:rsid w:val="00485BCD"/>
    <w:rsid w:val="004A63C7"/>
    <w:rsid w:val="004B4EFA"/>
    <w:rsid w:val="0050425E"/>
    <w:rsid w:val="00546E9C"/>
    <w:rsid w:val="0055640B"/>
    <w:rsid w:val="0055686B"/>
    <w:rsid w:val="005A1BCC"/>
    <w:rsid w:val="005B21DD"/>
    <w:rsid w:val="005C1C80"/>
    <w:rsid w:val="005D47DD"/>
    <w:rsid w:val="005D5DD8"/>
    <w:rsid w:val="005E0EED"/>
    <w:rsid w:val="005E1200"/>
    <w:rsid w:val="005E732D"/>
    <w:rsid w:val="00626174"/>
    <w:rsid w:val="006372A1"/>
    <w:rsid w:val="00675ACB"/>
    <w:rsid w:val="00686430"/>
    <w:rsid w:val="00687228"/>
    <w:rsid w:val="00692183"/>
    <w:rsid w:val="00697F4F"/>
    <w:rsid w:val="006B102D"/>
    <w:rsid w:val="006D7D63"/>
    <w:rsid w:val="006E2711"/>
    <w:rsid w:val="006F1E0E"/>
    <w:rsid w:val="006F78BF"/>
    <w:rsid w:val="00710D3D"/>
    <w:rsid w:val="00712564"/>
    <w:rsid w:val="00735E88"/>
    <w:rsid w:val="0074193C"/>
    <w:rsid w:val="00787318"/>
    <w:rsid w:val="007A4315"/>
    <w:rsid w:val="007C2EDA"/>
    <w:rsid w:val="007C6321"/>
    <w:rsid w:val="007E35DC"/>
    <w:rsid w:val="007E43B7"/>
    <w:rsid w:val="007F1F80"/>
    <w:rsid w:val="007F7296"/>
    <w:rsid w:val="008040FB"/>
    <w:rsid w:val="0081053B"/>
    <w:rsid w:val="00823E21"/>
    <w:rsid w:val="00824011"/>
    <w:rsid w:val="00832484"/>
    <w:rsid w:val="008350E1"/>
    <w:rsid w:val="00835192"/>
    <w:rsid w:val="00843929"/>
    <w:rsid w:val="00866DDA"/>
    <w:rsid w:val="008804F6"/>
    <w:rsid w:val="00882C68"/>
    <w:rsid w:val="00897774"/>
    <w:rsid w:val="008A392F"/>
    <w:rsid w:val="008A64B8"/>
    <w:rsid w:val="0090097D"/>
    <w:rsid w:val="00901844"/>
    <w:rsid w:val="0092768F"/>
    <w:rsid w:val="009364F4"/>
    <w:rsid w:val="0095174A"/>
    <w:rsid w:val="00952028"/>
    <w:rsid w:val="009811B9"/>
    <w:rsid w:val="00990848"/>
    <w:rsid w:val="00996A33"/>
    <w:rsid w:val="009A1FF6"/>
    <w:rsid w:val="009B209C"/>
    <w:rsid w:val="009C5AA3"/>
    <w:rsid w:val="009D60F7"/>
    <w:rsid w:val="00A05428"/>
    <w:rsid w:val="00A06234"/>
    <w:rsid w:val="00A178FF"/>
    <w:rsid w:val="00A46665"/>
    <w:rsid w:val="00A700D6"/>
    <w:rsid w:val="00A7282C"/>
    <w:rsid w:val="00A7522E"/>
    <w:rsid w:val="00A905A6"/>
    <w:rsid w:val="00A93C24"/>
    <w:rsid w:val="00A95A5F"/>
    <w:rsid w:val="00AA50E4"/>
    <w:rsid w:val="00AA7C62"/>
    <w:rsid w:val="00AB4B07"/>
    <w:rsid w:val="00AC01D4"/>
    <w:rsid w:val="00AC5FF9"/>
    <w:rsid w:val="00AD2A0D"/>
    <w:rsid w:val="00AD2D35"/>
    <w:rsid w:val="00AE5671"/>
    <w:rsid w:val="00AE68B5"/>
    <w:rsid w:val="00AF41AA"/>
    <w:rsid w:val="00AF52EF"/>
    <w:rsid w:val="00AF6478"/>
    <w:rsid w:val="00B24806"/>
    <w:rsid w:val="00B26D1D"/>
    <w:rsid w:val="00B42A2B"/>
    <w:rsid w:val="00B507E2"/>
    <w:rsid w:val="00B66FCC"/>
    <w:rsid w:val="00B67CEA"/>
    <w:rsid w:val="00B74492"/>
    <w:rsid w:val="00B74B36"/>
    <w:rsid w:val="00B76839"/>
    <w:rsid w:val="00B93477"/>
    <w:rsid w:val="00B96982"/>
    <w:rsid w:val="00BB74E6"/>
    <w:rsid w:val="00BC67E8"/>
    <w:rsid w:val="00BC691D"/>
    <w:rsid w:val="00BD3F33"/>
    <w:rsid w:val="00BD7210"/>
    <w:rsid w:val="00BF6E75"/>
    <w:rsid w:val="00C03465"/>
    <w:rsid w:val="00C063B7"/>
    <w:rsid w:val="00C2285E"/>
    <w:rsid w:val="00C24C0E"/>
    <w:rsid w:val="00C33757"/>
    <w:rsid w:val="00C33E55"/>
    <w:rsid w:val="00C41849"/>
    <w:rsid w:val="00C57B11"/>
    <w:rsid w:val="00C7136C"/>
    <w:rsid w:val="00C72B5A"/>
    <w:rsid w:val="00C73387"/>
    <w:rsid w:val="00C76BAF"/>
    <w:rsid w:val="00C800E7"/>
    <w:rsid w:val="00C82E20"/>
    <w:rsid w:val="00C83AE9"/>
    <w:rsid w:val="00C844FC"/>
    <w:rsid w:val="00C95BBB"/>
    <w:rsid w:val="00CB3345"/>
    <w:rsid w:val="00CB6428"/>
    <w:rsid w:val="00CC0420"/>
    <w:rsid w:val="00CC7D40"/>
    <w:rsid w:val="00CD0A79"/>
    <w:rsid w:val="00D148B7"/>
    <w:rsid w:val="00D34FFD"/>
    <w:rsid w:val="00D374E5"/>
    <w:rsid w:val="00D46781"/>
    <w:rsid w:val="00D46C9F"/>
    <w:rsid w:val="00D53332"/>
    <w:rsid w:val="00D55645"/>
    <w:rsid w:val="00D720AD"/>
    <w:rsid w:val="00D80957"/>
    <w:rsid w:val="00D9475F"/>
    <w:rsid w:val="00DA6386"/>
    <w:rsid w:val="00DC7F66"/>
    <w:rsid w:val="00DE17D4"/>
    <w:rsid w:val="00DF3A6C"/>
    <w:rsid w:val="00DF6B19"/>
    <w:rsid w:val="00E06CD5"/>
    <w:rsid w:val="00E142A6"/>
    <w:rsid w:val="00E351C2"/>
    <w:rsid w:val="00E43EC7"/>
    <w:rsid w:val="00E77974"/>
    <w:rsid w:val="00E825AA"/>
    <w:rsid w:val="00E87B09"/>
    <w:rsid w:val="00E94EA2"/>
    <w:rsid w:val="00EB59A4"/>
    <w:rsid w:val="00EC2EED"/>
    <w:rsid w:val="00EC560B"/>
    <w:rsid w:val="00EC7BFA"/>
    <w:rsid w:val="00EF5D22"/>
    <w:rsid w:val="00EF61CF"/>
    <w:rsid w:val="00F0305D"/>
    <w:rsid w:val="00F049E7"/>
    <w:rsid w:val="00F1710A"/>
    <w:rsid w:val="00F25B20"/>
    <w:rsid w:val="00F31D8C"/>
    <w:rsid w:val="00F355DA"/>
    <w:rsid w:val="00F3662F"/>
    <w:rsid w:val="00F37277"/>
    <w:rsid w:val="00F41DAD"/>
    <w:rsid w:val="00F430F8"/>
    <w:rsid w:val="00FB39AC"/>
    <w:rsid w:val="00FD08C0"/>
    <w:rsid w:val="00FD170B"/>
    <w:rsid w:val="00FD7BFC"/>
    <w:rsid w:val="00FE1EEE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0B85"/>
  <w15:docId w15:val="{DAFE8D08-1E06-4F68-8DE1-07C0FAF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44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C7F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7F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7F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F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7F66"/>
    <w:rPr>
      <w:b/>
      <w:bCs/>
      <w:sz w:val="20"/>
      <w:szCs w:val="20"/>
    </w:rPr>
  </w:style>
  <w:style w:type="character" w:customStyle="1" w:styleId="contentpasted0mrcssattr">
    <w:name w:val="contentpasted0_mr_css_attr"/>
    <w:basedOn w:val="a0"/>
    <w:rsid w:val="00D5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Павлова Анастасия Анатольевна</cp:lastModifiedBy>
  <cp:revision>6</cp:revision>
  <cp:lastPrinted>2019-02-12T09:56:00Z</cp:lastPrinted>
  <dcterms:created xsi:type="dcterms:W3CDTF">2022-11-05T17:31:00Z</dcterms:created>
  <dcterms:modified xsi:type="dcterms:W3CDTF">2023-01-18T12:07:00Z</dcterms:modified>
</cp:coreProperties>
</file>