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F4D5" w14:textId="77777777" w:rsidR="003759AA" w:rsidRPr="00E15CD9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6467508"/>
      <w:r w:rsidRPr="00E15CD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113A7642" w14:textId="77777777" w:rsidR="003759AA" w:rsidRPr="00E15CD9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D9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14:paraId="6601FEBF" w14:textId="01FAE7A7" w:rsidR="00B357A9" w:rsidRDefault="001A61CD" w:rsidP="00636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8C">
        <w:rPr>
          <w:rFonts w:ascii="Times New Roman" w:hAnsi="Times New Roman" w:cs="Times New Roman"/>
          <w:b/>
          <w:sz w:val="28"/>
          <w:szCs w:val="28"/>
        </w:rPr>
        <w:t xml:space="preserve">Международной научно-практической конференции «Наука и </w:t>
      </w:r>
      <w:r w:rsidR="005D5FDA" w:rsidRPr="00636A8C">
        <w:rPr>
          <w:rFonts w:ascii="Times New Roman" w:hAnsi="Times New Roman" w:cs="Times New Roman"/>
          <w:b/>
          <w:sz w:val="28"/>
          <w:szCs w:val="28"/>
        </w:rPr>
        <w:t>Т</w:t>
      </w:r>
      <w:r w:rsidRPr="00636A8C">
        <w:rPr>
          <w:rFonts w:ascii="Times New Roman" w:hAnsi="Times New Roman" w:cs="Times New Roman"/>
          <w:b/>
          <w:sz w:val="28"/>
          <w:szCs w:val="28"/>
        </w:rPr>
        <w:t>ехнологии»</w:t>
      </w:r>
    </w:p>
    <w:p w14:paraId="1195B46F" w14:textId="77777777" w:rsidR="00665F19" w:rsidRPr="00B357A9" w:rsidRDefault="00665F19" w:rsidP="00636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F792" w14:textId="4E427F21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>далее -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1A61CD" w:rsidRPr="001A61CD">
        <w:rPr>
          <w:rFonts w:ascii="Times New Roman" w:hAnsi="Times New Roman" w:cs="Times New Roman"/>
          <w:b/>
          <w:sz w:val="28"/>
          <w:szCs w:val="28"/>
        </w:rPr>
        <w:t xml:space="preserve">Международной научно-практической конференции «Наука и </w:t>
      </w:r>
      <w:r w:rsidR="005D5FDA">
        <w:rPr>
          <w:rFonts w:ascii="Times New Roman" w:hAnsi="Times New Roman" w:cs="Times New Roman"/>
          <w:b/>
          <w:sz w:val="28"/>
          <w:szCs w:val="28"/>
        </w:rPr>
        <w:t>Т</w:t>
      </w:r>
      <w:r w:rsidR="001A61CD" w:rsidRPr="001A61CD">
        <w:rPr>
          <w:rFonts w:ascii="Times New Roman" w:hAnsi="Times New Roman" w:cs="Times New Roman"/>
          <w:b/>
          <w:sz w:val="28"/>
          <w:szCs w:val="28"/>
        </w:rPr>
        <w:t xml:space="preserve">ехнологии» </w:t>
      </w:r>
      <w:r w:rsidR="00F34B8F"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F34B8F"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222176">
        <w:rPr>
          <w:rFonts w:ascii="Times New Roman" w:hAnsi="Times New Roman" w:cs="Times New Roman"/>
          <w:color w:val="000000"/>
          <w:sz w:val="28"/>
        </w:rPr>
        <w:t>26 ноября 2024 г. - 27 ноября 2024</w:t>
      </w:r>
      <w:r w:rsidR="007D5566">
        <w:rPr>
          <w:rFonts w:ascii="Times New Roman" w:hAnsi="Times New Roman" w:cs="Times New Roman"/>
          <w:color w:val="000000"/>
          <w:sz w:val="28"/>
        </w:rPr>
        <w:t xml:space="preserve"> г.</w:t>
      </w:r>
      <w:r w:rsidR="00222176">
        <w:rPr>
          <w:rFonts w:ascii="Times New Roman" w:hAnsi="Times New Roman" w:cs="Times New Roman"/>
          <w:color w:val="000000"/>
          <w:sz w:val="28"/>
        </w:rPr>
        <w:t xml:space="preserve"> </w:t>
      </w:r>
      <w:r w:rsidR="00F34B8F" w:rsidRPr="003759AA">
        <w:rPr>
          <w:rFonts w:ascii="Times New Roman" w:hAnsi="Times New Roman" w:cs="Times New Roman"/>
          <w:sz w:val="28"/>
          <w:szCs w:val="28"/>
        </w:rPr>
        <w:t>в ГУУ.</w:t>
      </w:r>
    </w:p>
    <w:p w14:paraId="62DA9F9E" w14:textId="6EF6BDCE" w:rsidR="003759AA" w:rsidRPr="003759AA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6227AAB2" w14:textId="35F68918" w:rsidR="00F34B8F" w:rsidRPr="003759AA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2F">
        <w:rPr>
          <w:rFonts w:ascii="Times New Roman" w:hAnsi="Times New Roman" w:cs="Times New Roman"/>
          <w:sz w:val="28"/>
          <w:szCs w:val="28"/>
          <w:lang w:val="en-US"/>
        </w:rPr>
        <w:t>Социальные технологии управления обществом</w:t>
      </w:r>
      <w:r w:rsidR="00F34B8F" w:rsidRPr="003759AA">
        <w:rPr>
          <w:rFonts w:ascii="Times New Roman" w:hAnsi="Times New Roman" w:cs="Times New Roman"/>
          <w:sz w:val="28"/>
          <w:szCs w:val="28"/>
        </w:rPr>
        <w:t>;</w:t>
      </w:r>
    </w:p>
    <w:p w14:paraId="26CC4BBA" w14:textId="44CE1A2B" w:rsidR="00F34B8F" w:rsidRPr="003759AA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2F">
        <w:rPr>
          <w:rFonts w:ascii="Times New Roman" w:hAnsi="Times New Roman" w:cs="Times New Roman"/>
          <w:sz w:val="28"/>
          <w:szCs w:val="28"/>
        </w:rPr>
        <w:t>Инновационные технологии управления в цифровой среде информационного общества</w:t>
      </w:r>
      <w:r w:rsidR="00F34B8F" w:rsidRPr="003759AA">
        <w:rPr>
          <w:rFonts w:ascii="Times New Roman" w:hAnsi="Times New Roman" w:cs="Times New Roman"/>
          <w:sz w:val="28"/>
          <w:szCs w:val="28"/>
        </w:rPr>
        <w:t>;</w:t>
      </w:r>
    </w:p>
    <w:p w14:paraId="06CBF59E" w14:textId="7886B2A1" w:rsidR="00B8002F" w:rsidRPr="00B8002F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2F">
        <w:rPr>
          <w:rFonts w:ascii="Times New Roman" w:hAnsi="Times New Roman" w:cs="Times New Roman"/>
          <w:sz w:val="28"/>
          <w:szCs w:val="28"/>
        </w:rPr>
        <w:t>Трансформация отраслевого управления в условиях развития технологического суверенитета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38075" w14:textId="6D7D050C" w:rsidR="00F34B8F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8002F">
        <w:rPr>
          <w:rFonts w:ascii="Times New Roman" w:hAnsi="Times New Roman" w:cs="Times New Roman"/>
          <w:sz w:val="28"/>
          <w:szCs w:val="28"/>
        </w:rPr>
        <w:t>Маркетинговые технологии управления</w:t>
      </w:r>
      <w:r w:rsidR="00F34B8F" w:rsidRPr="003759AA">
        <w:rPr>
          <w:rFonts w:ascii="Times New Roman" w:hAnsi="Times New Roman" w:cs="Times New Roman"/>
          <w:sz w:val="28"/>
          <w:szCs w:val="28"/>
        </w:rPr>
        <w:t>;</w:t>
      </w:r>
    </w:p>
    <w:p w14:paraId="0AA62658" w14:textId="4EB45806" w:rsidR="00B8002F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2F">
        <w:rPr>
          <w:rFonts w:ascii="Times New Roman" w:hAnsi="Times New Roman" w:cs="Times New Roman"/>
          <w:sz w:val="28"/>
          <w:szCs w:val="28"/>
        </w:rPr>
        <w:t>Технологии развития социальных и бизнес-коммуникаций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A1B17F" w14:textId="52327C51" w:rsidR="00B8002F" w:rsidRPr="00F23D9F" w:rsidRDefault="00B8002F" w:rsidP="00F34B8F">
      <w:pPr>
        <w:numPr>
          <w:ilvl w:val="0"/>
          <w:numId w:val="4"/>
        </w:numPr>
        <w:tabs>
          <w:tab w:val="num" w:pos="284"/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2F">
        <w:rPr>
          <w:rFonts w:ascii="Times New Roman" w:hAnsi="Times New Roman" w:cs="Times New Roman"/>
          <w:sz w:val="28"/>
          <w:szCs w:val="28"/>
        </w:rPr>
        <w:t>Теория и практика экономической, технологической и финансовой безопасности страны</w:t>
      </w:r>
    </w:p>
    <w:p w14:paraId="61FA3243" w14:textId="6813E9A8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35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="00FC4747" w:rsidRPr="00A41E35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34B8F" w:rsidRPr="00A41E35">
        <w:rPr>
          <w:rFonts w:ascii="Times New Roman" w:hAnsi="Times New Roman" w:cs="Times New Roman"/>
          <w:sz w:val="28"/>
          <w:szCs w:val="28"/>
        </w:rPr>
        <w:t xml:space="preserve">ведущие отечественные ученые и практики, научные и педагогические работники, </w:t>
      </w:r>
      <w:r w:rsidR="00A41E35" w:rsidRPr="00A41E35">
        <w:rPr>
          <w:rFonts w:ascii="Times New Roman" w:hAnsi="Times New Roman" w:cs="Times New Roman"/>
          <w:sz w:val="28"/>
          <w:szCs w:val="28"/>
        </w:rPr>
        <w:t>молодые исследователи, обучающиеся по программам бакалавриата</w:t>
      </w:r>
      <w:r w:rsidR="008156F8">
        <w:rPr>
          <w:rFonts w:ascii="Times New Roman" w:hAnsi="Times New Roman" w:cs="Times New Roman"/>
          <w:sz w:val="28"/>
          <w:szCs w:val="28"/>
        </w:rPr>
        <w:t xml:space="preserve">, </w:t>
      </w:r>
      <w:r w:rsidR="00A41E35" w:rsidRPr="00A41E35">
        <w:rPr>
          <w:rFonts w:ascii="Times New Roman" w:hAnsi="Times New Roman" w:cs="Times New Roman"/>
          <w:sz w:val="28"/>
          <w:szCs w:val="28"/>
        </w:rPr>
        <w:t xml:space="preserve">магистратуры и подготовки научных и научно-педагогических кадров в аспирантуре образовательных организаций высшего образования под научным руководством научно-педагогических работников. 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К публикации принимаются не более </w:t>
      </w:r>
      <w:r w:rsidR="007910AA">
        <w:rPr>
          <w:rFonts w:ascii="Times New Roman" w:hAnsi="Times New Roman" w:cs="Times New Roman"/>
          <w:sz w:val="28"/>
          <w:szCs w:val="28"/>
        </w:rPr>
        <w:t>двух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работ от одного участника</w:t>
      </w:r>
      <w:r w:rsidR="00F34B8F" w:rsidRPr="00A41E35">
        <w:rPr>
          <w:rFonts w:ascii="Times New Roman" w:hAnsi="Times New Roman" w:cs="Times New Roman"/>
          <w:sz w:val="28"/>
          <w:szCs w:val="28"/>
        </w:rPr>
        <w:t>. Статьи конференции будут опубликованы в сборнике и переданы в РИНЦ.</w:t>
      </w:r>
    </w:p>
    <w:p w14:paraId="3F3CA73D" w14:textId="15161FE9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433E27">
        <w:rPr>
          <w:rFonts w:ascii="Times New Roman" w:hAnsi="Times New Roman" w:cs="Times New Roman"/>
          <w:sz w:val="28"/>
          <w:szCs w:val="28"/>
        </w:rPr>
        <w:t>смешанный.</w:t>
      </w:r>
    </w:p>
    <w:p w14:paraId="5308FC8B" w14:textId="4308C94D" w:rsidR="0092749A" w:rsidRPr="00BE3738" w:rsidRDefault="003759AA" w:rsidP="00D365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E3738">
        <w:rPr>
          <w:rFonts w:ascii="Times New Roman" w:hAnsi="Times New Roman" w:cs="Times New Roman"/>
          <w:sz w:val="28"/>
          <w:szCs w:val="28"/>
        </w:rPr>
        <w:t xml:space="preserve">конференции бесплатное. </w:t>
      </w:r>
      <w:r w:rsidR="0092749A" w:rsidRPr="00BE3738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E90B14" w:rsidRPr="00BE3738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92749A" w:rsidRPr="00BE373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92749A" w:rsidRPr="00BE3738">
        <w:rPr>
          <w:rFonts w:ascii="Times New Roman" w:hAnsi="Times New Roman" w:cs="Times New Roman"/>
          <w:sz w:val="28"/>
          <w:szCs w:val="28"/>
        </w:rPr>
        <w:t xml:space="preserve"> </w:t>
      </w:r>
      <w:r w:rsidR="00E90B14" w:rsidRPr="00BE3738">
        <w:rPr>
          <w:rFonts w:ascii="Times New Roman" w:hAnsi="Times New Roman" w:cs="Times New Roman"/>
          <w:sz w:val="28"/>
          <w:szCs w:val="28"/>
        </w:rPr>
        <w:t>21 ноября</w:t>
      </w:r>
      <w:r w:rsidR="0092749A" w:rsidRPr="00BE3738">
        <w:rPr>
          <w:rFonts w:ascii="Times New Roman" w:hAnsi="Times New Roman" w:cs="Times New Roman"/>
          <w:sz w:val="28"/>
          <w:szCs w:val="28"/>
        </w:rPr>
        <w:t xml:space="preserve"> </w:t>
      </w:r>
      <w:r w:rsidR="00E90B14" w:rsidRPr="00BE3738">
        <w:rPr>
          <w:rFonts w:ascii="Times New Roman" w:hAnsi="Times New Roman" w:cs="Times New Roman"/>
          <w:sz w:val="28"/>
          <w:szCs w:val="28"/>
        </w:rPr>
        <w:t xml:space="preserve">2024 г. </w:t>
      </w:r>
      <w:r w:rsidR="0092749A" w:rsidRPr="00BE3738">
        <w:rPr>
          <w:rFonts w:ascii="Times New Roman" w:hAnsi="Times New Roman" w:cs="Times New Roman"/>
          <w:sz w:val="28"/>
          <w:szCs w:val="28"/>
        </w:rPr>
        <w:t>включительно</w:t>
      </w:r>
      <w:r w:rsidR="00D365BC" w:rsidRPr="00BE3738">
        <w:rPr>
          <w:rFonts w:ascii="Times New Roman" w:hAnsi="Times New Roman" w:cs="Times New Roman"/>
          <w:sz w:val="28"/>
          <w:szCs w:val="28"/>
        </w:rPr>
        <w:t xml:space="preserve"> </w:t>
      </w:r>
      <w:r w:rsidR="0092749A" w:rsidRPr="00BE3738">
        <w:rPr>
          <w:rFonts w:ascii="Times New Roman" w:hAnsi="Times New Roman" w:cs="Times New Roman"/>
          <w:sz w:val="28"/>
          <w:szCs w:val="28"/>
        </w:rPr>
        <w:t xml:space="preserve">зарегистрироваться, пройдя по ссылке </w:t>
      </w:r>
      <w:hyperlink r:id="rId8" w:history="1">
        <w:r w:rsidR="00B8002F" w:rsidRPr="00BE3738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https://forms.yandex.ru/u/6703e5b190fa7b943127d827/</w:t>
        </w:r>
      </w:hyperlink>
      <w:r w:rsidR="0092749A" w:rsidRPr="00BE3738">
        <w:rPr>
          <w:rFonts w:ascii="Times New Roman" w:hAnsi="Times New Roman" w:cs="Times New Roman"/>
          <w:sz w:val="28"/>
          <w:szCs w:val="28"/>
        </w:rPr>
        <w:t xml:space="preserve">, и заполнить все обязательные поля. Статьи в формате MS </w:t>
      </w:r>
      <w:proofErr w:type="spellStart"/>
      <w:r w:rsidR="0092749A" w:rsidRPr="00BE373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2749A" w:rsidRPr="00BE3738">
        <w:rPr>
          <w:rFonts w:ascii="Times New Roman" w:hAnsi="Times New Roman" w:cs="Times New Roman"/>
          <w:sz w:val="28"/>
          <w:szCs w:val="28"/>
        </w:rPr>
        <w:t xml:space="preserve"> прикрепляются во время прохождения электронной регистрации.</w:t>
      </w:r>
    </w:p>
    <w:p w14:paraId="7E3B0170" w14:textId="1D88DFA2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38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E90B14" w:rsidRPr="00BE3738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E90B14" w:rsidRPr="00BE373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E90B14" w:rsidRPr="00BE3738">
        <w:rPr>
          <w:rFonts w:ascii="Times New Roman" w:hAnsi="Times New Roman" w:cs="Times New Roman"/>
          <w:sz w:val="28"/>
          <w:szCs w:val="28"/>
        </w:rPr>
        <w:t xml:space="preserve"> 21 ноября 2024 г. </w:t>
      </w:r>
      <w:r w:rsidRPr="00BE3738">
        <w:rPr>
          <w:rFonts w:ascii="Times New Roman" w:hAnsi="Times New Roman" w:cs="Times New Roman"/>
          <w:sz w:val="28"/>
          <w:szCs w:val="28"/>
        </w:rPr>
        <w:t>не</w:t>
      </w:r>
      <w:r w:rsidRPr="00F23D9F">
        <w:rPr>
          <w:rFonts w:ascii="Times New Roman" w:hAnsi="Times New Roman" w:cs="Times New Roman"/>
          <w:sz w:val="28"/>
          <w:szCs w:val="28"/>
        </w:rPr>
        <w:t xml:space="preserve"> принимаются и не рассматриваются. </w:t>
      </w:r>
    </w:p>
    <w:p w14:paraId="38B31FE5" w14:textId="77777777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p w14:paraId="2ACF465A" w14:textId="77777777" w:rsidR="00E90B14" w:rsidRPr="00FC44DF" w:rsidRDefault="00E90B14" w:rsidP="00E90B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: Шкуренкова А.Д., </w:t>
      </w:r>
      <w:hyperlink r:id="rId9" w:history="1">
        <w:r w:rsidRPr="00C3248A">
          <w:rPr>
            <w:rStyle w:val="a8"/>
            <w:rFonts w:ascii="Times New Roman" w:hAnsi="Times New Roman" w:cs="Times New Roman"/>
            <w:sz w:val="28"/>
            <w:szCs w:val="28"/>
          </w:rPr>
          <w:t>ad_volkova@guu.ru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99DBC" w14:textId="4A97DC1D" w:rsidR="00B46AE5" w:rsidRDefault="00B46AE5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683BEB02" w:rsidR="00FF4281" w:rsidRPr="00E25DC9" w:rsidRDefault="00FF4281" w:rsidP="00FF4281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2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2"/>
    <w:p w14:paraId="32A20D09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должны быть представлены в виде файла, созданного с использованием редактора MS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Word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;</w:t>
      </w:r>
    </w:p>
    <w:p w14:paraId="0DDAD24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4A7D5C9A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071EE91A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46565B35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26A41D5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46C1D859" w14:textId="79F5E33B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Орг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анизационный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комитет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(далее – Оргкомитет)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оставляет за собой право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не включать в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не соответствующие профилю работы конференции и оформленные без соответствия указанным выше требованиям.</w:t>
      </w:r>
    </w:p>
    <w:p w14:paraId="1595B58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B611AA3" w14:textId="783CB6A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в обязательном порядке проверяются Оргкомитетом на наличие плагиата (минимальный порог оригинальности – 75%). </w:t>
      </w:r>
      <w:r w:rsidR="00B47E19">
        <w:rPr>
          <w:rFonts w:eastAsiaTheme="minorHAnsi"/>
          <w:bCs/>
          <w:sz w:val="28"/>
          <w:szCs w:val="28"/>
          <w:lang w:eastAsia="en-US"/>
        </w:rPr>
        <w:t>Автор статьи или н</w:t>
      </w:r>
      <w:r w:rsidR="00B47E19" w:rsidRPr="00983A9F">
        <w:rPr>
          <w:rFonts w:eastAsiaTheme="minorHAnsi"/>
          <w:bCs/>
          <w:sz w:val="28"/>
          <w:szCs w:val="28"/>
          <w:lang w:eastAsia="en-US"/>
        </w:rPr>
        <w:t>аучный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руководитель должен предоставить подтверждающий документ (например, справку с сайта </w:t>
      </w:r>
      <w:hyperlink r:id="rId10" w:tooltip="http://www.antiplagiat.ru/" w:history="1">
        <w:r w:rsidRPr="00FD22F8">
          <w:rPr>
            <w:rFonts w:eastAsiaTheme="minorHAnsi"/>
            <w:bCs/>
            <w:sz w:val="28"/>
            <w:lang w:eastAsia="en-US"/>
          </w:rPr>
          <w:t>www.antiplagiat.ru</w:t>
        </w:r>
      </w:hyperlink>
      <w:r w:rsidRPr="00983A9F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</w:t>
      </w: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>выслан вместе с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статьями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F73E3"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24CFA88E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23E38735" w:rsidR="00FF4281" w:rsidRPr="00983A9F" w:rsidRDefault="00FF4281" w:rsidP="00FF4281">
      <w:pPr>
        <w:pStyle w:val="af4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 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FF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3759AA">
      <w:pPr>
        <w:spacing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BE1CFA">
            <w:pPr>
              <w:spacing w:before="12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2C0F0A90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99D290" w14:textId="18727484" w:rsidR="00A37E25" w:rsidRDefault="00A37E25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0278CECE" w14:textId="28056EFE" w:rsidR="0092749A" w:rsidRPr="00B46AE5" w:rsidRDefault="0092749A" w:rsidP="0092749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</w:p>
    <w:p w14:paraId="6C3114AF" w14:textId="3AAB0FB6" w:rsidR="003B066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 xml:space="preserve">канд. </w:t>
      </w:r>
      <w:proofErr w:type="spellStart"/>
      <w:r w:rsidRPr="00A37E25">
        <w:rPr>
          <w:rFonts w:ascii="Verdana" w:eastAsia="Times New Roman" w:hAnsi="Verdana" w:cs="Times New Roman"/>
          <w:i/>
          <w:lang w:eastAsia="ru-RU"/>
        </w:rPr>
        <w:t>экон</w:t>
      </w:r>
      <w:proofErr w:type="spellEnd"/>
      <w:r w:rsidRPr="00A37E25">
        <w:rPr>
          <w:rFonts w:ascii="Verdana" w:eastAsia="Times New Roman" w:hAnsi="Verdana" w:cs="Times New Roman"/>
          <w:i/>
          <w:lang w:eastAsia="ru-RU"/>
        </w:rPr>
        <w:t>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5756F861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="00112124"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CF59" w14:textId="77777777" w:rsidR="000E5F5D" w:rsidRDefault="000E5F5D" w:rsidP="00075BDB">
      <w:pPr>
        <w:spacing w:after="0" w:line="240" w:lineRule="auto"/>
      </w:pPr>
      <w:r>
        <w:separator/>
      </w:r>
    </w:p>
  </w:endnote>
  <w:endnote w:type="continuationSeparator" w:id="0">
    <w:p w14:paraId="1CAC80AD" w14:textId="77777777" w:rsidR="000E5F5D" w:rsidRDefault="000E5F5D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239D" w14:textId="77777777" w:rsidR="000E5F5D" w:rsidRDefault="000E5F5D" w:rsidP="00075BDB">
      <w:pPr>
        <w:spacing w:after="0" w:line="240" w:lineRule="auto"/>
      </w:pPr>
      <w:r>
        <w:separator/>
      </w:r>
    </w:p>
  </w:footnote>
  <w:footnote w:type="continuationSeparator" w:id="0">
    <w:p w14:paraId="5A241628" w14:textId="77777777" w:rsidR="000E5F5D" w:rsidRDefault="000E5F5D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629E"/>
    <w:rsid w:val="00073248"/>
    <w:rsid w:val="00075BDB"/>
    <w:rsid w:val="00093E8C"/>
    <w:rsid w:val="0009742E"/>
    <w:rsid w:val="000A49B5"/>
    <w:rsid w:val="000B45B1"/>
    <w:rsid w:val="000C067D"/>
    <w:rsid w:val="000D0D39"/>
    <w:rsid w:val="000E5F5D"/>
    <w:rsid w:val="000E7DF4"/>
    <w:rsid w:val="00102B82"/>
    <w:rsid w:val="001105BF"/>
    <w:rsid w:val="00112124"/>
    <w:rsid w:val="00120643"/>
    <w:rsid w:val="00121018"/>
    <w:rsid w:val="001408C4"/>
    <w:rsid w:val="00155D34"/>
    <w:rsid w:val="00157329"/>
    <w:rsid w:val="0016494E"/>
    <w:rsid w:val="00174E85"/>
    <w:rsid w:val="001817AC"/>
    <w:rsid w:val="001860A4"/>
    <w:rsid w:val="00192022"/>
    <w:rsid w:val="00194654"/>
    <w:rsid w:val="00197DDD"/>
    <w:rsid w:val="001A61CD"/>
    <w:rsid w:val="001B0486"/>
    <w:rsid w:val="001B6670"/>
    <w:rsid w:val="001E3861"/>
    <w:rsid w:val="00201AAB"/>
    <w:rsid w:val="00222176"/>
    <w:rsid w:val="00233AF6"/>
    <w:rsid w:val="00235CF4"/>
    <w:rsid w:val="002432A2"/>
    <w:rsid w:val="00263002"/>
    <w:rsid w:val="002C2E1C"/>
    <w:rsid w:val="002E38DC"/>
    <w:rsid w:val="002F7696"/>
    <w:rsid w:val="003103F1"/>
    <w:rsid w:val="00327168"/>
    <w:rsid w:val="00330060"/>
    <w:rsid w:val="00354511"/>
    <w:rsid w:val="003759AA"/>
    <w:rsid w:val="003775EF"/>
    <w:rsid w:val="003862BD"/>
    <w:rsid w:val="00386E9D"/>
    <w:rsid w:val="00387DBE"/>
    <w:rsid w:val="003A268B"/>
    <w:rsid w:val="003B0665"/>
    <w:rsid w:val="003C702F"/>
    <w:rsid w:val="003C7454"/>
    <w:rsid w:val="003F63C7"/>
    <w:rsid w:val="00425A54"/>
    <w:rsid w:val="00433E27"/>
    <w:rsid w:val="00441CFF"/>
    <w:rsid w:val="0044428F"/>
    <w:rsid w:val="00452047"/>
    <w:rsid w:val="00453CAE"/>
    <w:rsid w:val="00456ABF"/>
    <w:rsid w:val="0046274B"/>
    <w:rsid w:val="00471BE1"/>
    <w:rsid w:val="00471EB1"/>
    <w:rsid w:val="004A00F5"/>
    <w:rsid w:val="004B200B"/>
    <w:rsid w:val="004C327E"/>
    <w:rsid w:val="004E5AD1"/>
    <w:rsid w:val="004F0E09"/>
    <w:rsid w:val="00502BA2"/>
    <w:rsid w:val="005047D0"/>
    <w:rsid w:val="005150C8"/>
    <w:rsid w:val="005522FA"/>
    <w:rsid w:val="00554819"/>
    <w:rsid w:val="0056141A"/>
    <w:rsid w:val="00563788"/>
    <w:rsid w:val="00576199"/>
    <w:rsid w:val="00587D84"/>
    <w:rsid w:val="005D5FDA"/>
    <w:rsid w:val="005E3690"/>
    <w:rsid w:val="005F1071"/>
    <w:rsid w:val="00606761"/>
    <w:rsid w:val="00626E4D"/>
    <w:rsid w:val="00636A8C"/>
    <w:rsid w:val="006429A0"/>
    <w:rsid w:val="00645DD0"/>
    <w:rsid w:val="00665F19"/>
    <w:rsid w:val="006742DB"/>
    <w:rsid w:val="006862E6"/>
    <w:rsid w:val="00695090"/>
    <w:rsid w:val="006A1114"/>
    <w:rsid w:val="006A497E"/>
    <w:rsid w:val="006B6B94"/>
    <w:rsid w:val="006C2165"/>
    <w:rsid w:val="00735DA8"/>
    <w:rsid w:val="0077527A"/>
    <w:rsid w:val="00775323"/>
    <w:rsid w:val="007910AA"/>
    <w:rsid w:val="00796DF5"/>
    <w:rsid w:val="007A0E8A"/>
    <w:rsid w:val="007A63CF"/>
    <w:rsid w:val="007B7E6A"/>
    <w:rsid w:val="007C43C4"/>
    <w:rsid w:val="007D1090"/>
    <w:rsid w:val="007D5566"/>
    <w:rsid w:val="007E290B"/>
    <w:rsid w:val="008156F8"/>
    <w:rsid w:val="00841183"/>
    <w:rsid w:val="00854268"/>
    <w:rsid w:val="0085547D"/>
    <w:rsid w:val="00890E67"/>
    <w:rsid w:val="00895A05"/>
    <w:rsid w:val="008A33AC"/>
    <w:rsid w:val="008B6DA9"/>
    <w:rsid w:val="008B7F8A"/>
    <w:rsid w:val="009231B0"/>
    <w:rsid w:val="0092749A"/>
    <w:rsid w:val="00947266"/>
    <w:rsid w:val="00961ACF"/>
    <w:rsid w:val="009649B7"/>
    <w:rsid w:val="00976B16"/>
    <w:rsid w:val="0099000E"/>
    <w:rsid w:val="00990F91"/>
    <w:rsid w:val="009F10F9"/>
    <w:rsid w:val="00A17F62"/>
    <w:rsid w:val="00A31D6A"/>
    <w:rsid w:val="00A32BF0"/>
    <w:rsid w:val="00A37E25"/>
    <w:rsid w:val="00A41E35"/>
    <w:rsid w:val="00A719BA"/>
    <w:rsid w:val="00AB6CC2"/>
    <w:rsid w:val="00AD5C42"/>
    <w:rsid w:val="00AF62CC"/>
    <w:rsid w:val="00B0641B"/>
    <w:rsid w:val="00B25567"/>
    <w:rsid w:val="00B32E76"/>
    <w:rsid w:val="00B357A9"/>
    <w:rsid w:val="00B46AE5"/>
    <w:rsid w:val="00B47E19"/>
    <w:rsid w:val="00B6792B"/>
    <w:rsid w:val="00B7133D"/>
    <w:rsid w:val="00B8002F"/>
    <w:rsid w:val="00B8067E"/>
    <w:rsid w:val="00BE049C"/>
    <w:rsid w:val="00BE3738"/>
    <w:rsid w:val="00BE5E09"/>
    <w:rsid w:val="00C1365C"/>
    <w:rsid w:val="00C17CF6"/>
    <w:rsid w:val="00C23393"/>
    <w:rsid w:val="00C47C05"/>
    <w:rsid w:val="00C5355E"/>
    <w:rsid w:val="00CA1A55"/>
    <w:rsid w:val="00CC207B"/>
    <w:rsid w:val="00CD047C"/>
    <w:rsid w:val="00D12612"/>
    <w:rsid w:val="00D205CA"/>
    <w:rsid w:val="00D33263"/>
    <w:rsid w:val="00D3468E"/>
    <w:rsid w:val="00D365BC"/>
    <w:rsid w:val="00D43F19"/>
    <w:rsid w:val="00D617C0"/>
    <w:rsid w:val="00D719F5"/>
    <w:rsid w:val="00D854B8"/>
    <w:rsid w:val="00DA22EA"/>
    <w:rsid w:val="00DB2628"/>
    <w:rsid w:val="00DE280F"/>
    <w:rsid w:val="00DF60EC"/>
    <w:rsid w:val="00E01CB6"/>
    <w:rsid w:val="00E15CD9"/>
    <w:rsid w:val="00E22AED"/>
    <w:rsid w:val="00E308F1"/>
    <w:rsid w:val="00E41DDD"/>
    <w:rsid w:val="00E80C0B"/>
    <w:rsid w:val="00E81537"/>
    <w:rsid w:val="00E84ED8"/>
    <w:rsid w:val="00E90B14"/>
    <w:rsid w:val="00EA4FC1"/>
    <w:rsid w:val="00EA5388"/>
    <w:rsid w:val="00EA5D8A"/>
    <w:rsid w:val="00EC35CB"/>
    <w:rsid w:val="00ED12E2"/>
    <w:rsid w:val="00ED1D6F"/>
    <w:rsid w:val="00EE6851"/>
    <w:rsid w:val="00EF4249"/>
    <w:rsid w:val="00EF506F"/>
    <w:rsid w:val="00EF5BEC"/>
    <w:rsid w:val="00F02BE6"/>
    <w:rsid w:val="00F23D9F"/>
    <w:rsid w:val="00F34B8F"/>
    <w:rsid w:val="00F40612"/>
    <w:rsid w:val="00F531EA"/>
    <w:rsid w:val="00F61EDC"/>
    <w:rsid w:val="00F65631"/>
    <w:rsid w:val="00F67245"/>
    <w:rsid w:val="00F7193C"/>
    <w:rsid w:val="00FB0CCC"/>
    <w:rsid w:val="00FC1F4E"/>
    <w:rsid w:val="00FC30CB"/>
    <w:rsid w:val="00FC44DF"/>
    <w:rsid w:val="00FC4747"/>
    <w:rsid w:val="00FD22F8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B80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3e5b190fa7b943127d8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_volkova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31D4-7DB2-4B8E-A219-302FA6D3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Шкуренкова Александра Дмитриевна</cp:lastModifiedBy>
  <cp:revision>9</cp:revision>
  <cp:lastPrinted>2024-03-13T14:19:00Z</cp:lastPrinted>
  <dcterms:created xsi:type="dcterms:W3CDTF">2024-10-16T11:57:00Z</dcterms:created>
  <dcterms:modified xsi:type="dcterms:W3CDTF">2024-10-21T06:57:00Z</dcterms:modified>
</cp:coreProperties>
</file>